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3600"/>
      </w:pPr>
    </w:p>
    <w:p>
      <w:pPr>
        <w:spacing w:after="200"/>
        <w:jc w:val="center"/>
      </w:pPr>
      <w:r>
        <w:rPr>
          <w:rFonts w:ascii="Arial" w:cs="Arial" w:eastAsia="Arial" w:hAnsi="Arial"/>
          <w:b/>
          <w:bCs/>
          <w:color w:val="0A1628"/>
          <w:sz w:val="56"/>
          <w:szCs w:val="56"/>
        </w:rPr>
        <w:t xml:space="preserve">Refuse-to-File (RTF)</w:t>
      </w:r>
    </w:p>
    <w:p>
      <w:pPr>
        <w:spacing w:after="100"/>
        <w:jc w:val="center"/>
      </w:pPr>
      <w:r>
        <w:rPr>
          <w:rFonts w:ascii="Arial" w:cs="Arial" w:eastAsia="Arial" w:hAnsi="Arial"/>
          <w:b/>
          <w:bCs/>
          <w:color w:val="0A1628"/>
          <w:sz w:val="56"/>
          <w:szCs w:val="56"/>
        </w:rPr>
        <w:t xml:space="preserve">Response Framework</w:t>
      </w:r>
    </w:p>
    <w:p>
      <w:pPr>
        <w:spacing w:after="600"/>
        <w:jc w:val="center"/>
      </w:pPr>
      <w:r>
        <w:rPr>
          <w:rFonts w:ascii="Arial" w:cs="Arial" w:eastAsia="Arial" w:hAnsi="Arial"/>
          <w:i/>
          <w:iCs/>
          <w:color w:val="555555"/>
          <w:sz w:val="28"/>
          <w:szCs w:val="28"/>
        </w:rPr>
        <w:t xml:space="preserve">Proactive Risk Assessment &amp; Remediation Guide</w:t>
      </w:r>
    </w:p>
    <w:p>
      <w:pPr>
        <w:pBdr>
          <w:bottom w:val="single" w:color="0A1628" w:sz="6" w:space="1"/>
        </w:pBdr>
        <w:spacing w:after="600"/>
        <w:jc w:val="center"/>
      </w:pPr>
    </w:p>
    <w:p>
      <w:pPr>
        <w:spacing w:after="200"/>
        <w:jc w:val="center"/>
      </w:pPr>
      <w:r>
        <w:rPr>
          <w:rFonts w:ascii="Arial" w:cs="Arial" w:eastAsia="Arial" w:hAnsi="Arial"/>
          <w:color w:val="333333"/>
          <w:sz w:val="24"/>
          <w:szCs w:val="24"/>
        </w:rPr>
        <w:t xml:space="preserve">Prepared by: TrialCraft | Insight Mind AI LLC</w:t>
      </w:r>
    </w:p>
    <w:p>
      <w:pPr>
        <w:spacing w:after="200"/>
        <w:jc w:val="center"/>
      </w:pPr>
      <w:r>
        <w:rPr>
          <w:rFonts w:ascii="Arial" w:cs="Arial" w:eastAsia="Arial" w:hAnsi="Arial"/>
          <w:color w:val="333333"/>
          <w:sz w:val="24"/>
          <w:szCs w:val="24"/>
        </w:rPr>
        <w:t xml:space="preserve">Date: [Date]</w:t>
      </w:r>
    </w:p>
    <w:p>
      <w:pPr>
        <w:spacing w:after="200"/>
        <w:jc w:val="center"/>
      </w:pPr>
      <w:r>
        <w:rPr>
          <w:rFonts w:ascii="Arial" w:cs="Arial" w:eastAsia="Arial" w:hAnsi="Arial"/>
          <w:color w:val="333333"/>
          <w:sz w:val="24"/>
          <w:szCs w:val="24"/>
        </w:rPr>
        <w:t xml:space="preserve">Program: [Program / Compound Name]</w:t>
      </w:r>
    </w:p>
    <w:p>
      <w:pPr>
        <w:spacing w:after="200"/>
        <w:jc w:val="center"/>
      </w:pPr>
      <w:r>
        <w:rPr>
          <w:rFonts w:ascii="Arial" w:cs="Arial" w:eastAsia="Arial" w:hAnsi="Arial"/>
          <w:color w:val="777777"/>
          <w:sz w:val="22"/>
          <w:szCs w:val="22"/>
        </w:rPr>
        <w:t xml:space="preserve">Template v1.0</w:t>
      </w:r>
    </w:p>
    <w:p>
      <w:pPr>
        <w:sectPr>
          <w:pgSz w:w="12240" w:h="15840" w:orient="portrait"/>
          <w:pgMar w:top="1440" w:right="1440" w:bottom="1440" w:left="1440" w:header="708" w:footer="708" w:gutter="0"/>
          <w:pgNumType/>
          <w:docGrid w:linePitch="360"/>
        </w:sectPr>
      </w:pPr>
    </w:p>
    <w:p>
      <w:pPr>
        <w:pStyle w:val="Heading1"/>
        <w:spacing w:after="200" w:before="360"/>
      </w:pPr>
      <w:r>
        <w:rPr>
          <w:rFonts w:ascii="Arial" w:cs="Arial" w:eastAsia="Arial" w:hAnsi="Arial"/>
          <w:b/>
          <w:bCs/>
          <w:color w:val="0A1628"/>
          <w:sz w:val="32"/>
          <w:szCs w:val="32"/>
        </w:rPr>
        <w:t xml:space="preserve">Section 1: RTF Overview</w:t>
      </w:r>
    </w:p>
    <w:p>
      <w:pPr>
        <w:spacing w:after="200"/>
      </w:pPr>
      <w:r>
        <w:rPr>
          <w:rFonts w:ascii="Arial" w:cs="Arial" w:eastAsia="Arial" w:hAnsi="Arial"/>
          <w:sz w:val="22"/>
          <w:szCs w:val="22"/>
        </w:rPr>
        <w:t xml:space="preserve">An RTF letter is issued by FDA when an NDA or BLA submission is found to be insufficiently complete for a substantive review. Under 21 CFR 314.101, FDA has 60 days from receipt of an application to determine whether it may be filed. Common RTF reasons include incomplete clinical data, insufficient safety databases, missing bioequivalence data, and inadequate CMC information.</w:t>
      </w:r>
    </w:p>
    <w:p>
      <w:pPr>
        <w:pStyle w:val="Heading2"/>
        <w:spacing w:after="120" w:before="240"/>
      </w:pPr>
      <w:r>
        <w:rPr>
          <w:rFonts w:ascii="Arial" w:cs="Arial" w:eastAsia="Arial" w:hAnsi="Arial"/>
          <w:b/>
          <w:bCs/>
          <w:color w:val="0A1628"/>
          <w:sz w:val="26"/>
          <w:szCs w:val="26"/>
        </w:rPr>
        <w:t xml:space="preserve">Key Statistics</w:t>
      </w:r>
    </w:p>
    <w:p>
      <w:pPr>
        <w:spacing w:after="200"/>
      </w:pPr>
      <w:r>
        <w:rPr>
          <w:rFonts w:ascii="Arial" w:cs="Arial" w:eastAsia="Arial" w:hAnsi="Arial"/>
          <w:sz w:val="22"/>
          <w:szCs w:val="22"/>
        </w:rPr>
        <w:t xml:space="preserve">Historically, approximately 4-6% of NDA/BLA submissions receive RTF letters. The most common deficiency categories are: clinical efficacy data (35%), safety database adequacy (25%), CMC/manufacturing (20%), and bioanalytical/PK issues (15%).</w:t>
      </w:r>
    </w:p>
    <w:p>
      <w:r>
        <w:br w:type="page"/>
      </w:r>
    </w:p>
    <w:p>
      <w:pPr>
        <w:pStyle w:val="Heading1"/>
        <w:spacing w:after="200" w:before="360"/>
      </w:pPr>
      <w:r>
        <w:rPr>
          <w:rFonts w:ascii="Arial" w:cs="Arial" w:eastAsia="Arial" w:hAnsi="Arial"/>
          <w:b/>
          <w:bCs/>
          <w:color w:val="0A1628"/>
          <w:sz w:val="32"/>
          <w:szCs w:val="32"/>
        </w:rPr>
        <w:t xml:space="preserve">Section 2: Pre-Submission RTF Risk Assessment</w:t>
      </w:r>
    </w:p>
    <w:p>
      <w:pPr>
        <w:spacing w:after="240"/>
      </w:pPr>
      <w:r>
        <w:rPr>
          <w:rFonts w:ascii="Arial" w:cs="Arial" w:eastAsia="Arial" w:hAnsi="Arial"/>
          <w:sz w:val="22"/>
          <w:szCs w:val="22"/>
        </w:rPr>
        <w:t xml:space="preserve">Use the table below to identify and track potential RTF risks across all major submission domains. Assign an owner and target resolution date for each identified risk.</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2060"/>
        <w:gridCol w:w="1500"/>
        <w:gridCol w:w="2000"/>
        <w:gridCol w:w="1200"/>
        <w:gridCol w:w="1300"/>
      </w:tblGrid>
      <w:tr>
        <w:tc>
          <w:tcPr>
            <w:tcW w:type="dxa" w:w="1300"/>
            <w:tcBorders>
              <w:top w:val="single" w:color="CCCCCC" w:sz="1"/>
              <w:left w:val="single" w:color="CCCCCC" w:sz="1"/>
              <w:bottom w:val="single" w:color="CCCCCC" w:sz="1"/>
              <w:right w:val="single" w:color="CCCCCC" w:sz="1"/>
            </w:tcBorders>
            <w:shd w:fill="F0F1F4" w:val="clear"/>
            <w:tcMar>
              <w:top w:type="dxa" w:w="80"/>
              <w:left w:type="dxa" w:w="120"/>
              <w:bottom w:type="dxa" w:w="80"/>
              <w:right w:type="dxa" w:w="120"/>
            </w:tcMar>
          </w:tcPr>
          <w:p>
            <w:r>
              <w:rPr>
                <w:rFonts w:ascii="Arial" w:cs="Arial" w:eastAsia="Arial" w:hAnsi="Arial"/>
                <w:b/>
                <w:bCs/>
                <w:sz w:val="20"/>
                <w:szCs w:val="20"/>
              </w:rPr>
              <w:t xml:space="preserve">Risk Area</w:t>
            </w:r>
          </w:p>
        </w:tc>
        <w:tc>
          <w:tcPr>
            <w:tcW w:type="dxa" w:w="2060"/>
            <w:tcBorders>
              <w:top w:val="single" w:color="CCCCCC" w:sz="1"/>
              <w:left w:val="single" w:color="CCCCCC" w:sz="1"/>
              <w:bottom w:val="single" w:color="CCCCCC" w:sz="1"/>
              <w:right w:val="single" w:color="CCCCCC" w:sz="1"/>
            </w:tcBorders>
            <w:shd w:fill="F0F1F4" w:val="clear"/>
            <w:tcMar>
              <w:top w:type="dxa" w:w="80"/>
              <w:left w:type="dxa" w:w="120"/>
              <w:bottom w:type="dxa" w:w="80"/>
              <w:right w:type="dxa" w:w="120"/>
            </w:tcMar>
          </w:tcPr>
          <w:p>
            <w:r>
              <w:rPr>
                <w:rFonts w:ascii="Arial" w:cs="Arial" w:eastAsia="Arial" w:hAnsi="Arial"/>
                <w:b/>
                <w:bCs/>
                <w:sz w:val="20"/>
                <w:szCs w:val="20"/>
              </w:rPr>
              <w:t xml:space="preserve">RTF Trigger</w:t>
            </w:r>
          </w:p>
        </w:tc>
        <w:tc>
          <w:tcPr>
            <w:tcW w:type="dxa" w:w="1500"/>
            <w:tcBorders>
              <w:top w:val="single" w:color="CCCCCC" w:sz="1"/>
              <w:left w:val="single" w:color="CCCCCC" w:sz="1"/>
              <w:bottom w:val="single" w:color="CCCCCC" w:sz="1"/>
              <w:right w:val="single" w:color="CCCCCC" w:sz="1"/>
            </w:tcBorders>
            <w:shd w:fill="F0F1F4" w:val="clear"/>
            <w:tcMar>
              <w:top w:type="dxa" w:w="80"/>
              <w:left w:type="dxa" w:w="120"/>
              <w:bottom w:type="dxa" w:w="80"/>
              <w:right w:type="dxa" w:w="120"/>
            </w:tcMar>
          </w:tcPr>
          <w:p>
            <w:r>
              <w:rPr>
                <w:rFonts w:ascii="Arial" w:cs="Arial" w:eastAsia="Arial" w:hAnsi="Arial"/>
                <w:b/>
                <w:bCs/>
                <w:sz w:val="20"/>
                <w:szCs w:val="20"/>
              </w:rPr>
              <w:t xml:space="preserve">Current Status</w:t>
            </w:r>
          </w:p>
        </w:tc>
        <w:tc>
          <w:tcPr>
            <w:tcW w:type="dxa" w:w="2000"/>
            <w:tcBorders>
              <w:top w:val="single" w:color="CCCCCC" w:sz="1"/>
              <w:left w:val="single" w:color="CCCCCC" w:sz="1"/>
              <w:bottom w:val="single" w:color="CCCCCC" w:sz="1"/>
              <w:right w:val="single" w:color="CCCCCC" w:sz="1"/>
            </w:tcBorders>
            <w:shd w:fill="F0F1F4" w:val="clear"/>
            <w:tcMar>
              <w:top w:type="dxa" w:w="80"/>
              <w:left w:type="dxa" w:w="120"/>
              <w:bottom w:type="dxa" w:w="80"/>
              <w:right w:type="dxa" w:w="120"/>
            </w:tcMar>
          </w:tcPr>
          <w:p>
            <w:r>
              <w:rPr>
                <w:rFonts w:ascii="Arial" w:cs="Arial" w:eastAsia="Arial" w:hAnsi="Arial"/>
                <w:b/>
                <w:bCs/>
                <w:sz w:val="20"/>
                <w:szCs w:val="20"/>
              </w:rPr>
              <w:t xml:space="preserve">Mitigation Plan</w:t>
            </w:r>
          </w:p>
        </w:tc>
        <w:tc>
          <w:tcPr>
            <w:tcW w:type="dxa" w:w="1200"/>
            <w:tcBorders>
              <w:top w:val="single" w:color="CCCCCC" w:sz="1"/>
              <w:left w:val="single" w:color="CCCCCC" w:sz="1"/>
              <w:bottom w:val="single" w:color="CCCCCC" w:sz="1"/>
              <w:right w:val="single" w:color="CCCCCC" w:sz="1"/>
            </w:tcBorders>
            <w:shd w:fill="F0F1F4" w:val="clear"/>
            <w:tcMar>
              <w:top w:type="dxa" w:w="80"/>
              <w:left w:type="dxa" w:w="120"/>
              <w:bottom w:type="dxa" w:w="80"/>
              <w:right w:type="dxa" w:w="120"/>
            </w:tcMar>
          </w:tcPr>
          <w:p>
            <w:r>
              <w:rPr>
                <w:rFonts w:ascii="Arial" w:cs="Arial" w:eastAsia="Arial" w:hAnsi="Arial"/>
                <w:b/>
                <w:bCs/>
                <w:sz w:val="20"/>
                <w:szCs w:val="20"/>
              </w:rPr>
              <w:t xml:space="preserve">Owner</w:t>
            </w:r>
          </w:p>
        </w:tc>
        <w:tc>
          <w:tcPr>
            <w:tcW w:type="dxa" w:w="1300"/>
            <w:tcBorders>
              <w:top w:val="single" w:color="CCCCCC" w:sz="1"/>
              <w:left w:val="single" w:color="CCCCCC" w:sz="1"/>
              <w:bottom w:val="single" w:color="CCCCCC" w:sz="1"/>
              <w:right w:val="single" w:color="CCCCCC" w:sz="1"/>
            </w:tcBorders>
            <w:shd w:fill="F0F1F4" w:val="clear"/>
            <w:tcMar>
              <w:top w:type="dxa" w:w="80"/>
              <w:left w:type="dxa" w:w="120"/>
              <w:bottom w:type="dxa" w:w="80"/>
              <w:right w:type="dxa" w:w="120"/>
            </w:tcMar>
          </w:tcPr>
          <w:p>
            <w:r>
              <w:rPr>
                <w:rFonts w:ascii="Arial" w:cs="Arial" w:eastAsia="Arial" w:hAnsi="Arial"/>
                <w:b/>
                <w:bCs/>
                <w:sz w:val="20"/>
                <w:szCs w:val="20"/>
              </w:rPr>
              <w:t xml:space="preserve">Target Date</w:t>
            </w:r>
          </w:p>
        </w:tc>
      </w:tr>
      <w:tr>
        <w:tc>
          <w:tcPr>
            <w:tcW w:type="dxa" w:w="13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Clinical Efficacy</w:t>
            </w:r>
          </w:p>
        </w:tc>
        <w:tc>
          <w:tcPr>
            <w:tcW w:type="dxa" w:w="20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Primary endpoint not met or inadequately defined</w:t>
            </w:r>
          </w:p>
        </w:tc>
        <w:tc>
          <w:tcPr>
            <w:tcW w:type="dxa" w:w="15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t>
            </w:r>
          </w:p>
        </w:tc>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t>
            </w:r>
          </w:p>
        </w:tc>
        <w:tc>
          <w:tcPr>
            <w:tcW w:type="dxa" w:w="12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t>
            </w:r>
          </w:p>
        </w:tc>
        <w:tc>
          <w:tcPr>
            <w:tcW w:type="dxa" w:w="13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t>
            </w:r>
          </w:p>
        </w:tc>
      </w:tr>
      <w:tr>
        <w:tc>
          <w:tcPr>
            <w:tcW w:type="dxa" w:w="13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Safety Database</w:t>
            </w:r>
          </w:p>
        </w:tc>
        <w:tc>
          <w:tcPr>
            <w:tcW w:type="dxa" w:w="20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Insufficient safety exposure (ICH E1)</w:t>
            </w:r>
          </w:p>
        </w:tc>
        <w:tc>
          <w:tcPr>
            <w:tcW w:type="dxa" w:w="15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t>
            </w:r>
          </w:p>
        </w:tc>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t>
            </w:r>
          </w:p>
        </w:tc>
        <w:tc>
          <w:tcPr>
            <w:tcW w:type="dxa" w:w="12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t>
            </w:r>
          </w:p>
        </w:tc>
        <w:tc>
          <w:tcPr>
            <w:tcW w:type="dxa" w:w="13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t>
            </w:r>
          </w:p>
        </w:tc>
      </w:tr>
      <w:tr>
        <w:tc>
          <w:tcPr>
            <w:tcW w:type="dxa" w:w="13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CMC</w:t>
            </w:r>
          </w:p>
        </w:tc>
        <w:tc>
          <w:tcPr>
            <w:tcW w:type="dxa" w:w="20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Drug substance/product specs incomplete</w:t>
            </w:r>
          </w:p>
        </w:tc>
        <w:tc>
          <w:tcPr>
            <w:tcW w:type="dxa" w:w="15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t>
            </w:r>
          </w:p>
        </w:tc>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t>
            </w:r>
          </w:p>
        </w:tc>
        <w:tc>
          <w:tcPr>
            <w:tcW w:type="dxa" w:w="12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t>
            </w:r>
          </w:p>
        </w:tc>
        <w:tc>
          <w:tcPr>
            <w:tcW w:type="dxa" w:w="13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t>
            </w:r>
          </w:p>
        </w:tc>
      </w:tr>
      <w:tr>
        <w:tc>
          <w:tcPr>
            <w:tcW w:type="dxa" w:w="13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Bioanalytical</w:t>
            </w:r>
          </w:p>
        </w:tc>
        <w:tc>
          <w:tcPr>
            <w:tcW w:type="dxa" w:w="20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Method validation gaps</w:t>
            </w:r>
          </w:p>
        </w:tc>
        <w:tc>
          <w:tcPr>
            <w:tcW w:type="dxa" w:w="15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t>
            </w:r>
          </w:p>
        </w:tc>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t>
            </w:r>
          </w:p>
        </w:tc>
        <w:tc>
          <w:tcPr>
            <w:tcW w:type="dxa" w:w="12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t>
            </w:r>
          </w:p>
        </w:tc>
        <w:tc>
          <w:tcPr>
            <w:tcW w:type="dxa" w:w="13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t>
            </w:r>
          </w:p>
        </w:tc>
      </w:tr>
      <w:tr>
        <w:tc>
          <w:tcPr>
            <w:tcW w:type="dxa" w:w="13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Labeling</w:t>
            </w:r>
          </w:p>
        </w:tc>
        <w:tc>
          <w:tcPr>
            <w:tcW w:type="dxa" w:w="20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Draft labeling not included</w:t>
            </w:r>
          </w:p>
        </w:tc>
        <w:tc>
          <w:tcPr>
            <w:tcW w:type="dxa" w:w="15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t>
            </w:r>
          </w:p>
        </w:tc>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t>
            </w:r>
          </w:p>
        </w:tc>
        <w:tc>
          <w:tcPr>
            <w:tcW w:type="dxa" w:w="12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t>
            </w:r>
          </w:p>
        </w:tc>
        <w:tc>
          <w:tcPr>
            <w:tcW w:type="dxa" w:w="13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t>
            </w:r>
          </w:p>
        </w:tc>
      </w:tr>
      <w:tr>
        <w:tc>
          <w:tcPr>
            <w:tcW w:type="dxa" w:w="13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Pediatric</w:t>
            </w:r>
          </w:p>
        </w:tc>
        <w:tc>
          <w:tcPr>
            <w:tcW w:type="dxa" w:w="20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Pediatric study plan not addressed</w:t>
            </w:r>
          </w:p>
        </w:tc>
        <w:tc>
          <w:tcPr>
            <w:tcW w:type="dxa" w:w="15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t>
            </w:r>
          </w:p>
        </w:tc>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t>
            </w:r>
          </w:p>
        </w:tc>
        <w:tc>
          <w:tcPr>
            <w:tcW w:type="dxa" w:w="12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t>
            </w:r>
          </w:p>
        </w:tc>
        <w:tc>
          <w:tcPr>
            <w:tcW w:type="dxa" w:w="13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t>
            </w:r>
          </w:p>
        </w:tc>
      </w:tr>
      <w:tr>
        <w:tc>
          <w:tcPr>
            <w:tcW w:type="dxa" w:w="13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REMS</w:t>
            </w:r>
          </w:p>
        </w:tc>
        <w:tc>
          <w:tcPr>
            <w:tcW w:type="dxa" w:w="20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Risk evaluation strategy not proposed (if applicable)</w:t>
            </w:r>
          </w:p>
        </w:tc>
        <w:tc>
          <w:tcPr>
            <w:tcW w:type="dxa" w:w="15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t>
            </w:r>
          </w:p>
        </w:tc>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t>
            </w:r>
          </w:p>
        </w:tc>
        <w:tc>
          <w:tcPr>
            <w:tcW w:type="dxa" w:w="12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t>
            </w:r>
          </w:p>
        </w:tc>
        <w:tc>
          <w:tcPr>
            <w:tcW w:type="dxa" w:w="13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t>
            </w:r>
          </w:p>
        </w:tc>
      </w:tr>
      <w:tr>
        <w:tc>
          <w:tcPr>
            <w:tcW w:type="dxa" w:w="13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Environmental</w:t>
            </w:r>
          </w:p>
        </w:tc>
        <w:tc>
          <w:tcPr>
            <w:tcW w:type="dxa" w:w="20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Environmental assessment missing</w:t>
            </w:r>
          </w:p>
        </w:tc>
        <w:tc>
          <w:tcPr>
            <w:tcW w:type="dxa" w:w="15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t>
            </w:r>
          </w:p>
        </w:tc>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t>
            </w:r>
          </w:p>
        </w:tc>
        <w:tc>
          <w:tcPr>
            <w:tcW w:type="dxa" w:w="12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t>
            </w:r>
          </w:p>
        </w:tc>
        <w:tc>
          <w:tcPr>
            <w:tcW w:type="dxa" w:w="13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t>
            </w:r>
          </w:p>
        </w:tc>
      </w:tr>
    </w:tbl>
    <w:p>
      <w:r>
        <w:br w:type="page"/>
      </w:r>
    </w:p>
    <w:p>
      <w:pPr>
        <w:pStyle w:val="Heading1"/>
        <w:spacing w:after="200" w:before="360"/>
      </w:pPr>
      <w:r>
        <w:rPr>
          <w:rFonts w:ascii="Arial" w:cs="Arial" w:eastAsia="Arial" w:hAnsi="Arial"/>
          <w:b/>
          <w:bCs/>
          <w:color w:val="0A1628"/>
          <w:sz w:val="32"/>
          <w:szCs w:val="32"/>
        </w:rPr>
        <w:t xml:space="preserve">Section 3: Filing Checklist (21 CFR 314.50)</w:t>
      </w:r>
    </w:p>
    <w:p>
      <w:pPr>
        <w:spacing w:after="240"/>
      </w:pPr>
      <w:r>
        <w:rPr>
          <w:rFonts w:ascii="Arial" w:cs="Arial" w:eastAsia="Arial" w:hAnsi="Arial"/>
          <w:sz w:val="22"/>
          <w:szCs w:val="22"/>
        </w:rPr>
        <w:t xml:space="preserve">Verify completeness of each NDA/BLA module prior to submission. Mark the status of each item to ensure no critical components are missing.</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5360"/>
        <w:gridCol w:w="2000"/>
      </w:tblGrid>
      <w:tr>
        <w:tc>
          <w:tcPr>
            <w:tcW w:type="dxa" w:w="2000"/>
            <w:tcBorders>
              <w:top w:val="single" w:color="CCCCCC" w:sz="1"/>
              <w:left w:val="single" w:color="CCCCCC" w:sz="1"/>
              <w:bottom w:val="single" w:color="CCCCCC" w:sz="1"/>
              <w:right w:val="single" w:color="CCCCCC" w:sz="1"/>
            </w:tcBorders>
            <w:shd w:fill="F0F1F4" w:val="clear"/>
            <w:tcMar>
              <w:top w:type="dxa" w:w="80"/>
              <w:left w:type="dxa" w:w="120"/>
              <w:bottom w:type="dxa" w:w="80"/>
              <w:right w:type="dxa" w:w="120"/>
            </w:tcMar>
          </w:tcPr>
          <w:p>
            <w:r>
              <w:rPr>
                <w:rFonts w:ascii="Arial" w:cs="Arial" w:eastAsia="Arial" w:hAnsi="Arial"/>
                <w:b/>
                <w:bCs/>
                <w:sz w:val="20"/>
                <w:szCs w:val="20"/>
              </w:rPr>
              <w:t xml:space="preserve">Module</w:t>
            </w:r>
          </w:p>
        </w:tc>
        <w:tc>
          <w:tcPr>
            <w:tcW w:type="dxa" w:w="5360"/>
            <w:tcBorders>
              <w:top w:val="single" w:color="CCCCCC" w:sz="1"/>
              <w:left w:val="single" w:color="CCCCCC" w:sz="1"/>
              <w:bottom w:val="single" w:color="CCCCCC" w:sz="1"/>
              <w:right w:val="single" w:color="CCCCCC" w:sz="1"/>
            </w:tcBorders>
            <w:shd w:fill="F0F1F4" w:val="clear"/>
            <w:tcMar>
              <w:top w:type="dxa" w:w="80"/>
              <w:left w:type="dxa" w:w="120"/>
              <w:bottom w:type="dxa" w:w="80"/>
              <w:right w:type="dxa" w:w="120"/>
            </w:tcMar>
          </w:tcPr>
          <w:p>
            <w:r>
              <w:rPr>
                <w:rFonts w:ascii="Arial" w:cs="Arial" w:eastAsia="Arial" w:hAnsi="Arial"/>
                <w:b/>
                <w:bCs/>
                <w:sz w:val="20"/>
                <w:szCs w:val="20"/>
              </w:rPr>
              <w:t xml:space="preserve">Checklist Item</w:t>
            </w:r>
          </w:p>
        </w:tc>
        <w:tc>
          <w:tcPr>
            <w:tcW w:type="dxa" w:w="2000"/>
            <w:tcBorders>
              <w:top w:val="single" w:color="CCCCCC" w:sz="1"/>
              <w:left w:val="single" w:color="CCCCCC" w:sz="1"/>
              <w:bottom w:val="single" w:color="CCCCCC" w:sz="1"/>
              <w:right w:val="single" w:color="CCCCCC" w:sz="1"/>
            </w:tcBorders>
            <w:shd w:fill="F0F1F4" w:val="clear"/>
            <w:tcMar>
              <w:top w:type="dxa" w:w="80"/>
              <w:left w:type="dxa" w:w="120"/>
              <w:bottom w:type="dxa" w:w="80"/>
              <w:right w:type="dxa" w:w="120"/>
            </w:tcMar>
          </w:tcPr>
          <w:p>
            <w:r>
              <w:rPr>
                <w:rFonts w:ascii="Arial" w:cs="Arial" w:eastAsia="Arial" w:hAnsi="Arial"/>
                <w:b/>
                <w:bCs/>
                <w:sz w:val="20"/>
                <w:szCs w:val="20"/>
              </w:rPr>
              <w:t xml:space="preserve">Status</w:t>
            </w:r>
          </w:p>
        </w:tc>
      </w:tr>
      <w:tr>
        <w:tc>
          <w:tcPr>
            <w:tcW w:type="dxa" w:w="2000"/>
            <w:vMerge w:val="restart"/>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bCs/>
                <w:sz w:val="20"/>
                <w:szCs w:val="20"/>
              </w:rPr>
              <w:t xml:space="preserve">Module 1 (Administrative)</w:t>
            </w:r>
          </w:p>
        </w:tc>
        <w:tc>
          <w:tcPr>
            <w:tcW w:type="dxa" w:w="5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Form 356h</w:t>
            </w:r>
          </w:p>
        </w:tc>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t>
            </w:r>
          </w:p>
        </w:tc>
      </w:tr>
      <w:tr>
        <w:tc>
          <w:tcPr>
            <w:vMerge w:val="continue"/>
            <w:tcBorders>
              <w:top w:val="single" w:color="CCCCCC" w:sz="1"/>
              <w:left w:val="single" w:color="CCCCCC" w:sz="1"/>
              <w:bottom w:val="single" w:color="CCCCCC" w:sz="1"/>
              <w:right w:val="single" w:color="CCCCCC" w:sz="1"/>
            </w:tcBorders>
          </w:tcPr>
          <w:p/>
        </w:tc>
        <w:tc>
          <w:tcPr>
            <w:tcW w:type="dxa" w:w="5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Cover letter</w:t>
            </w:r>
          </w:p>
        </w:tc>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t>
            </w:r>
          </w:p>
        </w:tc>
      </w:tr>
      <w:tr>
        <w:tc>
          <w:tcPr>
            <w:vMerge w:val="continue"/>
            <w:tcBorders>
              <w:top w:val="single" w:color="CCCCCC" w:sz="1"/>
              <w:left w:val="single" w:color="CCCCCC" w:sz="1"/>
              <w:bottom w:val="single" w:color="CCCCCC" w:sz="1"/>
              <w:right w:val="single" w:color="CCCCCC" w:sz="1"/>
            </w:tcBorders>
          </w:tcPr>
          <w:p/>
        </w:tc>
        <w:tc>
          <w:tcPr>
            <w:tcW w:type="dxa" w:w="5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Application form</w:t>
            </w:r>
          </w:p>
        </w:tc>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t>
            </w:r>
          </w:p>
        </w:tc>
      </w:tr>
      <w:tr>
        <w:tc>
          <w:tcPr>
            <w:vMerge w:val="continue"/>
            <w:tcBorders>
              <w:top w:val="single" w:color="CCCCCC" w:sz="1"/>
              <w:left w:val="single" w:color="CCCCCC" w:sz="1"/>
              <w:bottom w:val="single" w:color="CCCCCC" w:sz="1"/>
              <w:right w:val="single" w:color="CCCCCC" w:sz="1"/>
            </w:tcBorders>
          </w:tcPr>
          <w:p/>
        </w:tc>
        <w:tc>
          <w:tcPr>
            <w:tcW w:type="dxa" w:w="5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Patent information</w:t>
            </w:r>
          </w:p>
        </w:tc>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t>
            </w:r>
          </w:p>
        </w:tc>
      </w:tr>
      <w:tr>
        <w:tc>
          <w:tcPr>
            <w:vMerge w:val="continue"/>
            <w:tcBorders>
              <w:top w:val="single" w:color="CCCCCC" w:sz="1"/>
              <w:left w:val="single" w:color="CCCCCC" w:sz="1"/>
              <w:bottom w:val="single" w:color="CCCCCC" w:sz="1"/>
              <w:right w:val="single" w:color="CCCCCC" w:sz="1"/>
            </w:tcBorders>
          </w:tcPr>
          <w:p/>
        </w:tc>
        <w:tc>
          <w:tcPr>
            <w:tcW w:type="dxa" w:w="5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Financial disclosure</w:t>
            </w:r>
          </w:p>
        </w:tc>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t>
            </w:r>
          </w:p>
        </w:tc>
      </w:tr>
      <w:tr>
        <w:tc>
          <w:tcPr>
            <w:tcW w:type="dxa" w:w="2000"/>
            <w:vMerge w:val="restart"/>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bCs/>
                <w:sz w:val="20"/>
                <w:szCs w:val="20"/>
              </w:rPr>
              <w:t xml:space="preserve">Module 2 (Summaries)</w:t>
            </w:r>
          </w:p>
        </w:tc>
        <w:tc>
          <w:tcPr>
            <w:tcW w:type="dxa" w:w="5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Quality Overall Summary</w:t>
            </w:r>
          </w:p>
        </w:tc>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t>
            </w:r>
          </w:p>
        </w:tc>
      </w:tr>
      <w:tr>
        <w:tc>
          <w:tcPr>
            <w:vMerge w:val="continue"/>
            <w:tcBorders>
              <w:top w:val="single" w:color="CCCCCC" w:sz="1"/>
              <w:left w:val="single" w:color="CCCCCC" w:sz="1"/>
              <w:bottom w:val="single" w:color="CCCCCC" w:sz="1"/>
              <w:right w:val="single" w:color="CCCCCC" w:sz="1"/>
            </w:tcBorders>
          </w:tcPr>
          <w:p/>
        </w:tc>
        <w:tc>
          <w:tcPr>
            <w:tcW w:type="dxa" w:w="5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Nonclinical Overview</w:t>
            </w:r>
          </w:p>
        </w:tc>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t>
            </w:r>
          </w:p>
        </w:tc>
      </w:tr>
      <w:tr>
        <w:tc>
          <w:tcPr>
            <w:vMerge w:val="continue"/>
            <w:tcBorders>
              <w:top w:val="single" w:color="CCCCCC" w:sz="1"/>
              <w:left w:val="single" w:color="CCCCCC" w:sz="1"/>
              <w:bottom w:val="single" w:color="CCCCCC" w:sz="1"/>
              <w:right w:val="single" w:color="CCCCCC" w:sz="1"/>
            </w:tcBorders>
          </w:tcPr>
          <w:p/>
        </w:tc>
        <w:tc>
          <w:tcPr>
            <w:tcW w:type="dxa" w:w="5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Clinical Overview</w:t>
            </w:r>
          </w:p>
        </w:tc>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t>
            </w:r>
          </w:p>
        </w:tc>
      </w:tr>
      <w:tr>
        <w:tc>
          <w:tcPr>
            <w:vMerge w:val="continue"/>
            <w:tcBorders>
              <w:top w:val="single" w:color="CCCCCC" w:sz="1"/>
              <w:left w:val="single" w:color="CCCCCC" w:sz="1"/>
              <w:bottom w:val="single" w:color="CCCCCC" w:sz="1"/>
              <w:right w:val="single" w:color="CCCCCC" w:sz="1"/>
            </w:tcBorders>
          </w:tcPr>
          <w:p/>
        </w:tc>
        <w:tc>
          <w:tcPr>
            <w:tcW w:type="dxa" w:w="5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Clinical Summary</w:t>
            </w:r>
          </w:p>
        </w:tc>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t>
            </w:r>
          </w:p>
        </w:tc>
      </w:tr>
      <w:tr>
        <w:tc>
          <w:tcPr>
            <w:tcW w:type="dxa" w:w="2000"/>
            <w:vMerge w:val="restart"/>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bCs/>
                <w:sz w:val="20"/>
                <w:szCs w:val="20"/>
              </w:rPr>
              <w:t xml:space="preserve">Module 3 (Quality/CMC)</w:t>
            </w:r>
          </w:p>
        </w:tc>
        <w:tc>
          <w:tcPr>
            <w:tcW w:type="dxa" w:w="5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Drug substance</w:t>
            </w:r>
          </w:p>
        </w:tc>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t>
            </w:r>
          </w:p>
        </w:tc>
      </w:tr>
      <w:tr>
        <w:tc>
          <w:tcPr>
            <w:vMerge w:val="continue"/>
            <w:tcBorders>
              <w:top w:val="single" w:color="CCCCCC" w:sz="1"/>
              <w:left w:val="single" w:color="CCCCCC" w:sz="1"/>
              <w:bottom w:val="single" w:color="CCCCCC" w:sz="1"/>
              <w:right w:val="single" w:color="CCCCCC" w:sz="1"/>
            </w:tcBorders>
          </w:tcPr>
          <w:p/>
        </w:tc>
        <w:tc>
          <w:tcPr>
            <w:tcW w:type="dxa" w:w="5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Drug product</w:t>
            </w:r>
          </w:p>
        </w:tc>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t>
            </w:r>
          </w:p>
        </w:tc>
      </w:tr>
      <w:tr>
        <w:tc>
          <w:tcPr>
            <w:vMerge w:val="continue"/>
            <w:tcBorders>
              <w:top w:val="single" w:color="CCCCCC" w:sz="1"/>
              <w:left w:val="single" w:color="CCCCCC" w:sz="1"/>
              <w:bottom w:val="single" w:color="CCCCCC" w:sz="1"/>
              <w:right w:val="single" w:color="CCCCCC" w:sz="1"/>
            </w:tcBorders>
          </w:tcPr>
          <w:p/>
        </w:tc>
        <w:tc>
          <w:tcPr>
            <w:tcW w:type="dxa" w:w="5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Appendices</w:t>
            </w:r>
          </w:p>
        </w:tc>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t>
            </w:r>
          </w:p>
        </w:tc>
      </w:tr>
      <w:tr>
        <w:tc>
          <w:tcPr>
            <w:tcW w:type="dxa" w:w="2000"/>
            <w:vMerge w:val="restart"/>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bCs/>
                <w:sz w:val="20"/>
                <w:szCs w:val="20"/>
              </w:rPr>
              <w:t xml:space="preserve">Module 4 (Nonclinical)</w:t>
            </w:r>
          </w:p>
        </w:tc>
        <w:tc>
          <w:tcPr>
            <w:tcW w:type="dxa" w:w="5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Study reports</w:t>
            </w:r>
          </w:p>
        </w:tc>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t>
            </w:r>
          </w:p>
        </w:tc>
      </w:tr>
      <w:tr>
        <w:tc>
          <w:tcPr>
            <w:vMerge w:val="continue"/>
            <w:tcBorders>
              <w:top w:val="single" w:color="CCCCCC" w:sz="1"/>
              <w:left w:val="single" w:color="CCCCCC" w:sz="1"/>
              <w:bottom w:val="single" w:color="CCCCCC" w:sz="1"/>
              <w:right w:val="single" w:color="CCCCCC" w:sz="1"/>
            </w:tcBorders>
          </w:tcPr>
          <w:p/>
        </w:tc>
        <w:tc>
          <w:tcPr>
            <w:tcW w:type="dxa" w:w="5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Pharmacology</w:t>
            </w:r>
          </w:p>
        </w:tc>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t>
            </w:r>
          </w:p>
        </w:tc>
      </w:tr>
      <w:tr>
        <w:tc>
          <w:tcPr>
            <w:vMerge w:val="continue"/>
            <w:tcBorders>
              <w:top w:val="single" w:color="CCCCCC" w:sz="1"/>
              <w:left w:val="single" w:color="CCCCCC" w:sz="1"/>
              <w:bottom w:val="single" w:color="CCCCCC" w:sz="1"/>
              <w:right w:val="single" w:color="CCCCCC" w:sz="1"/>
            </w:tcBorders>
          </w:tcPr>
          <w:p/>
        </w:tc>
        <w:tc>
          <w:tcPr>
            <w:tcW w:type="dxa" w:w="5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Pharmacokinetics</w:t>
            </w:r>
          </w:p>
        </w:tc>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t>
            </w:r>
          </w:p>
        </w:tc>
      </w:tr>
      <w:tr>
        <w:tc>
          <w:tcPr>
            <w:vMerge w:val="continue"/>
            <w:tcBorders>
              <w:top w:val="single" w:color="CCCCCC" w:sz="1"/>
              <w:left w:val="single" w:color="CCCCCC" w:sz="1"/>
              <w:bottom w:val="single" w:color="CCCCCC" w:sz="1"/>
              <w:right w:val="single" w:color="CCCCCC" w:sz="1"/>
            </w:tcBorders>
          </w:tcPr>
          <w:p/>
        </w:tc>
        <w:tc>
          <w:tcPr>
            <w:tcW w:type="dxa" w:w="5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Toxicology</w:t>
            </w:r>
          </w:p>
        </w:tc>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t>
            </w:r>
          </w:p>
        </w:tc>
      </w:tr>
      <w:tr>
        <w:tc>
          <w:tcPr>
            <w:tcW w:type="dxa" w:w="2000"/>
            <w:vMerge w:val="restart"/>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bCs/>
                <w:sz w:val="20"/>
                <w:szCs w:val="20"/>
              </w:rPr>
              <w:t xml:space="preserve">Module 5 (Clinical)</w:t>
            </w:r>
          </w:p>
        </w:tc>
        <w:tc>
          <w:tcPr>
            <w:tcW w:type="dxa" w:w="5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Clinical study reports</w:t>
            </w:r>
          </w:p>
        </w:tc>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t>
            </w:r>
          </w:p>
        </w:tc>
      </w:tr>
      <w:tr>
        <w:tc>
          <w:tcPr>
            <w:vMerge w:val="continue"/>
            <w:tcBorders>
              <w:top w:val="single" w:color="CCCCCC" w:sz="1"/>
              <w:left w:val="single" w:color="CCCCCC" w:sz="1"/>
              <w:bottom w:val="single" w:color="CCCCCC" w:sz="1"/>
              <w:right w:val="single" w:color="CCCCCC" w:sz="1"/>
            </w:tcBorders>
          </w:tcPr>
          <w:p/>
        </w:tc>
        <w:tc>
          <w:tcPr>
            <w:tcW w:type="dxa" w:w="5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Tabular summaries</w:t>
            </w:r>
          </w:p>
        </w:tc>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t>
            </w:r>
          </w:p>
        </w:tc>
      </w:tr>
      <w:tr>
        <w:tc>
          <w:tcPr>
            <w:vMerge w:val="continue"/>
            <w:tcBorders>
              <w:top w:val="single" w:color="CCCCCC" w:sz="1"/>
              <w:left w:val="single" w:color="CCCCCC" w:sz="1"/>
              <w:bottom w:val="single" w:color="CCCCCC" w:sz="1"/>
              <w:right w:val="single" w:color="CCCCCC" w:sz="1"/>
            </w:tcBorders>
          </w:tcPr>
          <w:p/>
        </w:tc>
        <w:tc>
          <w:tcPr>
            <w:tcW w:type="dxa" w:w="5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Integrated Summary of Safety (ISS)</w:t>
            </w:r>
          </w:p>
        </w:tc>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t>
            </w:r>
          </w:p>
        </w:tc>
      </w:tr>
      <w:tr>
        <w:tc>
          <w:tcPr>
            <w:vMerge w:val="continue"/>
            <w:tcBorders>
              <w:top w:val="single" w:color="CCCCCC" w:sz="1"/>
              <w:left w:val="single" w:color="CCCCCC" w:sz="1"/>
              <w:bottom w:val="single" w:color="CCCCCC" w:sz="1"/>
              <w:right w:val="single" w:color="CCCCCC" w:sz="1"/>
            </w:tcBorders>
          </w:tcPr>
          <w:p/>
        </w:tc>
        <w:tc>
          <w:tcPr>
            <w:tcW w:type="dxa" w:w="5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Integrated Summary of Effectiveness (ISE)</w:t>
            </w:r>
          </w:p>
        </w:tc>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t>
            </w:r>
          </w:p>
        </w:tc>
      </w:tr>
    </w:tbl>
    <w:p>
      <w:r>
        <w:br w:type="page"/>
      </w:r>
    </w:p>
    <w:p>
      <w:pPr>
        <w:pStyle w:val="Heading1"/>
        <w:spacing w:after="200" w:before="360"/>
      </w:pPr>
      <w:r>
        <w:rPr>
          <w:rFonts w:ascii="Arial" w:cs="Arial" w:eastAsia="Arial" w:hAnsi="Arial"/>
          <w:b/>
          <w:bCs/>
          <w:color w:val="0A1628"/>
          <w:sz w:val="32"/>
          <w:szCs w:val="32"/>
        </w:rPr>
        <w:t xml:space="preserve">Section 4: Response Letter Template</w:t>
      </w:r>
    </w:p>
    <w:p>
      <w:pPr>
        <w:spacing w:after="240"/>
      </w:pPr>
      <w:r>
        <w:rPr>
          <w:rFonts w:ascii="Arial" w:cs="Arial" w:eastAsia="Arial" w:hAnsi="Arial"/>
          <w:sz w:val="22"/>
          <w:szCs w:val="22"/>
        </w:rPr>
        <w:t xml:space="preserve">If an RTF letter is received, use the following template structure for your formal response to the FDA.</w:t>
      </w:r>
    </w:p>
    <w:p>
      <w:pPr>
        <w:spacing w:after="100"/>
      </w:pPr>
      <w:r>
        <w:rPr>
          <w:rFonts w:ascii="Arial" w:cs="Arial" w:eastAsia="Arial" w:hAnsi="Arial"/>
          <w:b/>
          <w:bCs/>
          <w:sz w:val="22"/>
          <w:szCs w:val="22"/>
        </w:rPr>
        <w:t xml:space="preserve">[Date]</w:t>
      </w:r>
    </w:p>
    <w:p>
      <w:pPr>
        <w:spacing w:after="60"/>
      </w:pPr>
      <w:r>
        <w:rPr>
          <w:rFonts w:ascii="Arial" w:cs="Arial" w:eastAsia="Arial" w:hAnsi="Arial"/>
          <w:sz w:val="22"/>
          <w:szCs w:val="22"/>
        </w:rPr>
        <w:t xml:space="preserve">Division of [Division Name]</w:t>
      </w:r>
    </w:p>
    <w:p>
      <w:pPr>
        <w:spacing w:after="60"/>
      </w:pPr>
      <w:r>
        <w:rPr>
          <w:rFonts w:ascii="Arial" w:cs="Arial" w:eastAsia="Arial" w:hAnsi="Arial"/>
          <w:sz w:val="22"/>
          <w:szCs w:val="22"/>
        </w:rPr>
        <w:t xml:space="preserve">Center for Drug Evaluation and Research</w:t>
      </w:r>
    </w:p>
    <w:p>
      <w:pPr>
        <w:spacing w:after="200"/>
      </w:pPr>
      <w:r>
        <w:rPr>
          <w:rFonts w:ascii="Arial" w:cs="Arial" w:eastAsia="Arial" w:hAnsi="Arial"/>
          <w:sz w:val="22"/>
          <w:szCs w:val="22"/>
        </w:rPr>
        <w:t xml:space="preserve">Food and Drug Administration</w:t>
      </w:r>
    </w:p>
    <w:p>
      <w:pPr>
        <w:spacing w:after="300"/>
      </w:pPr>
      <w:r>
        <w:rPr>
          <w:rFonts w:ascii="Arial" w:cs="Arial" w:eastAsia="Arial" w:hAnsi="Arial"/>
          <w:b/>
          <w:bCs/>
          <w:sz w:val="22"/>
          <w:szCs w:val="22"/>
        </w:rPr>
        <w:t xml:space="preserve">RE: RTF Response — [Application Number]</w:t>
      </w:r>
    </w:p>
    <w:p>
      <w:pPr>
        <w:spacing w:after="200"/>
      </w:pPr>
      <w:r>
        <w:rPr>
          <w:rFonts w:ascii="Arial" w:cs="Arial" w:eastAsia="Arial" w:hAnsi="Arial"/>
          <w:sz w:val="22"/>
          <w:szCs w:val="22"/>
        </w:rPr>
        <w:t xml:space="preserve">Dear [Review Division Director],</w:t>
      </w:r>
    </w:p>
    <w:p>
      <w:pPr>
        <w:spacing w:after="300"/>
      </w:pPr>
      <w:r>
        <w:rPr>
          <w:rFonts w:ascii="Arial" w:cs="Arial" w:eastAsia="Arial" w:hAnsi="Arial"/>
          <w:sz w:val="22"/>
          <w:szCs w:val="22"/>
        </w:rPr>
        <w:t xml:space="preserve">We are writing in response to the Refuse to File letter dated [date] regarding [Application Type] [Number] for [Drug Name]. We appreciate the Division’s detailed feedback and have prepared the following responses to each identified deficiency.</w:t>
      </w:r>
    </w:p>
    <w:p>
      <w:pPr>
        <w:pStyle w:val="Heading2"/>
        <w:spacing w:after="120" w:before="240"/>
      </w:pPr>
      <w:r>
        <w:rPr>
          <w:rFonts w:ascii="Arial" w:cs="Arial" w:eastAsia="Arial" w:hAnsi="Arial"/>
          <w:b/>
          <w:bCs/>
          <w:color w:val="0A1628"/>
          <w:sz w:val="26"/>
          <w:szCs w:val="26"/>
        </w:rPr>
        <w:t xml:space="preserve">Deficiency 1: [FDA Stated Deficiency]</w:t>
      </w:r>
    </w:p>
    <w:p>
      <w:pPr>
        <w:spacing w:after="300"/>
      </w:pPr>
      <w:r>
        <w:rPr>
          <w:rFonts w:ascii="Arial" w:cs="Arial" w:eastAsia="Arial" w:hAnsi="Arial"/>
          <w:sz w:val="22"/>
          <w:szCs w:val="22"/>
        </w:rPr>
        <w:t xml:space="preserve">Response: [Provide a detailed response addressing the specific deficiency. Include references to relevant data, analyses, or supplemental information being provided.]</w:t>
      </w:r>
    </w:p>
    <w:p>
      <w:pPr>
        <w:pStyle w:val="Heading2"/>
        <w:spacing w:after="120" w:before="240"/>
      </w:pPr>
      <w:r>
        <w:rPr>
          <w:rFonts w:ascii="Arial" w:cs="Arial" w:eastAsia="Arial" w:hAnsi="Arial"/>
          <w:b/>
          <w:bCs/>
          <w:color w:val="0A1628"/>
          <w:sz w:val="26"/>
          <w:szCs w:val="26"/>
        </w:rPr>
        <w:t xml:space="preserve">Deficiency 2: [FDA Stated Deficiency]</w:t>
      </w:r>
    </w:p>
    <w:p>
      <w:pPr>
        <w:spacing w:after="300"/>
      </w:pPr>
      <w:r>
        <w:rPr>
          <w:rFonts w:ascii="Arial" w:cs="Arial" w:eastAsia="Arial" w:hAnsi="Arial"/>
          <w:sz w:val="22"/>
          <w:szCs w:val="22"/>
        </w:rPr>
        <w:t xml:space="preserve">Response: [Provide a detailed response addressing the specific deficiency. Include references to relevant data, analyses, or supplemental information being provided.]</w:t>
      </w:r>
    </w:p>
    <w:p>
      <w:pPr>
        <w:pStyle w:val="Heading2"/>
        <w:spacing w:after="120" w:before="240"/>
      </w:pPr>
      <w:r>
        <w:rPr>
          <w:rFonts w:ascii="Arial" w:cs="Arial" w:eastAsia="Arial" w:hAnsi="Arial"/>
          <w:b/>
          <w:bCs/>
          <w:color w:val="0A1628"/>
          <w:sz w:val="26"/>
          <w:szCs w:val="26"/>
        </w:rPr>
        <w:t xml:space="preserve">Deficiency 3: [FDA Stated Deficiency]</w:t>
      </w:r>
    </w:p>
    <w:p>
      <w:pPr>
        <w:spacing w:after="300"/>
      </w:pPr>
      <w:r>
        <w:rPr>
          <w:rFonts w:ascii="Arial" w:cs="Arial" w:eastAsia="Arial" w:hAnsi="Arial"/>
          <w:sz w:val="22"/>
          <w:szCs w:val="22"/>
        </w:rPr>
        <w:t xml:space="preserve">Response: [Provide a detailed response addressing the specific deficiency. Include references to relevant data, analyses, or supplemental information being provided.]</w:t>
      </w:r>
    </w:p>
    <w:p>
      <w:pPr>
        <w:spacing w:after="300"/>
      </w:pPr>
      <w:r>
        <w:rPr>
          <w:rFonts w:ascii="Arial" w:cs="Arial" w:eastAsia="Arial" w:hAnsi="Arial"/>
          <w:sz w:val="22"/>
          <w:szCs w:val="22"/>
        </w:rPr>
        <w:t xml:space="preserve">We believe the information provided herein adequately addresses the deficiencies identified in the RTF letter and respectfully request that the Agency proceed with filing the application. We remain available for further discussion and welcome the opportunity to meet with the Division to address any remaining questions.</w:t>
      </w:r>
    </w:p>
    <w:p>
      <w:pPr>
        <w:spacing w:after="300"/>
      </w:pPr>
      <w:r>
        <w:rPr>
          <w:rFonts w:ascii="Arial" w:cs="Arial" w:eastAsia="Arial" w:hAnsi="Arial"/>
          <w:sz w:val="22"/>
          <w:szCs w:val="22"/>
        </w:rPr>
        <w:t xml:space="preserve">Respectfully submitted,</w:t>
      </w:r>
    </w:p>
    <w:p>
      <w:pPr>
        <w:spacing w:after="60"/>
      </w:pPr>
      <w:r>
        <w:rPr>
          <w:rFonts w:ascii="Arial" w:cs="Arial" w:eastAsia="Arial" w:hAnsi="Arial"/>
          <w:sz w:val="22"/>
          <w:szCs w:val="22"/>
        </w:rPr>
        <w:t xml:space="preserve">[Name]</w:t>
      </w:r>
    </w:p>
    <w:p>
      <w:pPr>
        <w:spacing w:after="60"/>
      </w:pPr>
      <w:r>
        <w:rPr>
          <w:rFonts w:ascii="Arial" w:cs="Arial" w:eastAsia="Arial" w:hAnsi="Arial"/>
          <w:sz w:val="22"/>
          <w:szCs w:val="22"/>
        </w:rPr>
        <w:t xml:space="preserve">[Title]</w:t>
      </w:r>
    </w:p>
    <w:p>
      <w:pPr>
        <w:spacing w:after="60"/>
      </w:pPr>
      <w:r>
        <w:rPr>
          <w:rFonts w:ascii="Arial" w:cs="Arial" w:eastAsia="Arial" w:hAnsi="Arial"/>
          <w:sz w:val="22"/>
          <w:szCs w:val="22"/>
        </w:rPr>
        <w:t xml:space="preserve">[Company Name]</w:t>
      </w:r>
    </w:p>
    <w:p>
      <w:r>
        <w:br w:type="page"/>
      </w:r>
    </w:p>
    <w:p>
      <w:pPr>
        <w:pStyle w:val="Heading1"/>
        <w:spacing w:after="200" w:before="360"/>
      </w:pPr>
      <w:r>
        <w:rPr>
          <w:rFonts w:ascii="Arial" w:cs="Arial" w:eastAsia="Arial" w:hAnsi="Arial"/>
          <w:b/>
          <w:bCs/>
          <w:color w:val="0A1628"/>
          <w:sz w:val="32"/>
          <w:szCs w:val="32"/>
        </w:rPr>
        <w:t xml:space="preserve">Section 5: Post-RTF Action Plan</w:t>
      </w:r>
    </w:p>
    <w:p>
      <w:pPr>
        <w:spacing w:after="240"/>
      </w:pPr>
      <w:r>
        <w:rPr>
          <w:rFonts w:ascii="Arial" w:cs="Arial" w:eastAsia="Arial" w:hAnsi="Arial"/>
          <w:sz w:val="22"/>
          <w:szCs w:val="22"/>
        </w:rPr>
        <w:t xml:space="preserve">Upon receipt of an RTF letter, execute the following action plan to ensure a timely and comprehensive response.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360"/>
        <w:gridCol w:w="2200"/>
        <w:gridCol w:w="1900"/>
        <w:gridCol w:w="1900"/>
      </w:tblGrid>
      <w:tr>
        <w:tc>
          <w:tcPr>
            <w:tcW w:type="dxa" w:w="3360"/>
            <w:tcBorders>
              <w:top w:val="single" w:color="CCCCCC" w:sz="1"/>
              <w:left w:val="single" w:color="CCCCCC" w:sz="1"/>
              <w:bottom w:val="single" w:color="CCCCCC" w:sz="1"/>
              <w:right w:val="single" w:color="CCCCCC" w:sz="1"/>
            </w:tcBorders>
            <w:shd w:fill="F0F1F4" w:val="clear"/>
            <w:tcMar>
              <w:top w:type="dxa" w:w="80"/>
              <w:left w:type="dxa" w:w="120"/>
              <w:bottom w:type="dxa" w:w="80"/>
              <w:right w:type="dxa" w:w="120"/>
            </w:tcMar>
          </w:tcPr>
          <w:p>
            <w:r>
              <w:rPr>
                <w:rFonts w:ascii="Arial" w:cs="Arial" w:eastAsia="Arial" w:hAnsi="Arial"/>
                <w:b/>
                <w:bCs/>
                <w:sz w:val="20"/>
                <w:szCs w:val="20"/>
              </w:rPr>
              <w:t xml:space="preserve">Action Item</w:t>
            </w:r>
          </w:p>
        </w:tc>
        <w:tc>
          <w:tcPr>
            <w:tcW w:type="dxa" w:w="2200"/>
            <w:tcBorders>
              <w:top w:val="single" w:color="CCCCCC" w:sz="1"/>
              <w:left w:val="single" w:color="CCCCCC" w:sz="1"/>
              <w:bottom w:val="single" w:color="CCCCCC" w:sz="1"/>
              <w:right w:val="single" w:color="CCCCCC" w:sz="1"/>
            </w:tcBorders>
            <w:shd w:fill="F0F1F4" w:val="clear"/>
            <w:tcMar>
              <w:top w:type="dxa" w:w="80"/>
              <w:left w:type="dxa" w:w="120"/>
              <w:bottom w:type="dxa" w:w="80"/>
              <w:right w:type="dxa" w:w="120"/>
            </w:tcMar>
          </w:tcPr>
          <w:p>
            <w:r>
              <w:rPr>
                <w:rFonts w:ascii="Arial" w:cs="Arial" w:eastAsia="Arial" w:hAnsi="Arial"/>
                <w:b/>
                <w:bCs/>
                <w:sz w:val="20"/>
                <w:szCs w:val="20"/>
              </w:rPr>
              <w:t xml:space="preserve">Responsible Party</w:t>
            </w:r>
          </w:p>
        </w:tc>
        <w:tc>
          <w:tcPr>
            <w:tcW w:type="dxa" w:w="1900"/>
            <w:tcBorders>
              <w:top w:val="single" w:color="CCCCCC" w:sz="1"/>
              <w:left w:val="single" w:color="CCCCCC" w:sz="1"/>
              <w:bottom w:val="single" w:color="CCCCCC" w:sz="1"/>
              <w:right w:val="single" w:color="CCCCCC" w:sz="1"/>
            </w:tcBorders>
            <w:shd w:fill="F0F1F4" w:val="clear"/>
            <w:tcMar>
              <w:top w:type="dxa" w:w="80"/>
              <w:left w:type="dxa" w:w="120"/>
              <w:bottom w:type="dxa" w:w="80"/>
              <w:right w:type="dxa" w:w="120"/>
            </w:tcMar>
          </w:tcPr>
          <w:p>
            <w:r>
              <w:rPr>
                <w:rFonts w:ascii="Arial" w:cs="Arial" w:eastAsia="Arial" w:hAnsi="Arial"/>
                <w:b/>
                <w:bCs/>
                <w:sz w:val="20"/>
                <w:szCs w:val="20"/>
              </w:rPr>
              <w:t xml:space="preserve">Timeline</w:t>
            </w:r>
          </w:p>
        </w:tc>
        <w:tc>
          <w:tcPr>
            <w:tcW w:type="dxa" w:w="1900"/>
            <w:tcBorders>
              <w:top w:val="single" w:color="CCCCCC" w:sz="1"/>
              <w:left w:val="single" w:color="CCCCCC" w:sz="1"/>
              <w:bottom w:val="single" w:color="CCCCCC" w:sz="1"/>
              <w:right w:val="single" w:color="CCCCCC" w:sz="1"/>
            </w:tcBorders>
            <w:shd w:fill="F0F1F4" w:val="clear"/>
            <w:tcMar>
              <w:top w:type="dxa" w:w="80"/>
              <w:left w:type="dxa" w:w="120"/>
              <w:bottom w:type="dxa" w:w="80"/>
              <w:right w:type="dxa" w:w="120"/>
            </w:tcMar>
          </w:tcPr>
          <w:p>
            <w:r>
              <w:rPr>
                <w:rFonts w:ascii="Arial" w:cs="Arial" w:eastAsia="Arial" w:hAnsi="Arial"/>
                <w:b/>
                <w:bCs/>
                <w:sz w:val="20"/>
                <w:szCs w:val="20"/>
              </w:rPr>
              <w:t xml:space="preserve">Status</w:t>
            </w:r>
          </w:p>
        </w:tc>
      </w:tr>
      <w:tr>
        <w:tc>
          <w:tcPr>
            <w:tcW w:type="dxa" w:w="3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Address all deficiencies identified in RTF letter</w:t>
            </w:r>
          </w:p>
        </w:tc>
        <w:tc>
          <w:tcPr>
            <w:tcW w:type="dxa" w:w="22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t>
            </w:r>
          </w:p>
        </w:tc>
        <w:tc>
          <w:tcPr>
            <w:tcW w:type="dxa" w:w="19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t>
            </w:r>
          </w:p>
        </w:tc>
        <w:tc>
          <w:tcPr>
            <w:tcW w:type="dxa" w:w="19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t>
            </w:r>
          </w:p>
        </w:tc>
      </w:tr>
      <w:tr>
        <w:tc>
          <w:tcPr>
            <w:tcW w:type="dxa" w:w="3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Schedule Type A meeting with FDA</w:t>
            </w:r>
          </w:p>
        </w:tc>
        <w:tc>
          <w:tcPr>
            <w:tcW w:type="dxa" w:w="22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t>
            </w:r>
          </w:p>
        </w:tc>
        <w:tc>
          <w:tcPr>
            <w:tcW w:type="dxa" w:w="19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t>
            </w:r>
          </w:p>
        </w:tc>
        <w:tc>
          <w:tcPr>
            <w:tcW w:type="dxa" w:w="19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t>
            </w:r>
          </w:p>
        </w:tc>
      </w:tr>
      <w:tr>
        <w:tc>
          <w:tcPr>
            <w:tcW w:type="dxa" w:w="3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Prepare complete response package</w:t>
            </w:r>
          </w:p>
        </w:tc>
        <w:tc>
          <w:tcPr>
            <w:tcW w:type="dxa" w:w="22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t>
            </w:r>
          </w:p>
        </w:tc>
        <w:tc>
          <w:tcPr>
            <w:tcW w:type="dxa" w:w="19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t>
            </w:r>
          </w:p>
        </w:tc>
        <w:tc>
          <w:tcPr>
            <w:tcW w:type="dxa" w:w="19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t>
            </w:r>
          </w:p>
        </w:tc>
      </w:tr>
      <w:tr>
        <w:tc>
          <w:tcPr>
            <w:tcW w:type="dxa" w:w="3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Internal QC review of response</w:t>
            </w:r>
          </w:p>
        </w:tc>
        <w:tc>
          <w:tcPr>
            <w:tcW w:type="dxa" w:w="22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t>
            </w:r>
          </w:p>
        </w:tc>
        <w:tc>
          <w:tcPr>
            <w:tcW w:type="dxa" w:w="19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t>
            </w:r>
          </w:p>
        </w:tc>
        <w:tc>
          <w:tcPr>
            <w:tcW w:type="dxa" w:w="19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t>
            </w:r>
          </w:p>
        </w:tc>
      </w:tr>
      <w:tr>
        <w:tc>
          <w:tcPr>
            <w:tcW w:type="dxa" w:w="3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Resubmission</w:t>
            </w:r>
          </w:p>
        </w:tc>
        <w:tc>
          <w:tcPr>
            <w:tcW w:type="dxa" w:w="22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t>
            </w:r>
          </w:p>
        </w:tc>
        <w:tc>
          <w:tcPr>
            <w:tcW w:type="dxa" w:w="19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t>
            </w:r>
          </w:p>
        </w:tc>
        <w:tc>
          <w:tcPr>
            <w:tcW w:type="dxa" w:w="19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t>
            </w:r>
          </w:p>
        </w:tc>
      </w:tr>
    </w:tbl>
    <w:p>
      <w:pPr>
        <w:spacing w:before="400"/>
      </w:pPr>
    </w:p>
    <w:p>
      <w:pPr>
        <w:pStyle w:val="Heading2"/>
        <w:spacing w:after="120" w:before="240"/>
      </w:pPr>
      <w:r>
        <w:rPr>
          <w:rFonts w:ascii="Arial" w:cs="Arial" w:eastAsia="Arial" w:hAnsi="Arial"/>
          <w:b/>
          <w:bCs/>
          <w:color w:val="0A1628"/>
          <w:sz w:val="26"/>
          <w:szCs w:val="26"/>
        </w:rPr>
        <w:t xml:space="preserve">Key Considerations</w:t>
      </w:r>
    </w:p>
    <w:p>
      <w:pPr>
        <w:pStyle w:val="ListParagraph"/>
        <w:numPr>
          <w:ilvl w:val="0"/>
          <w:numId w:val="2"/>
        </w:numPr>
        <w:spacing w:after="80"/>
      </w:pPr>
      <w:r>
        <w:rPr>
          <w:rFonts w:ascii="Arial" w:cs="Arial" w:eastAsia="Arial" w:hAnsi="Arial"/>
          <w:sz w:val="22"/>
          <w:szCs w:val="22"/>
        </w:rPr>
        <w:t xml:space="preserve">Type A meetings can be requested within 30 days of an RTF letter and are generally granted within 60 days.</w:t>
      </w:r>
    </w:p>
    <w:p>
      <w:pPr>
        <w:pStyle w:val="ListParagraph"/>
        <w:numPr>
          <w:ilvl w:val="0"/>
          <w:numId w:val="2"/>
        </w:numPr>
        <w:spacing w:after="80"/>
      </w:pPr>
      <w:r>
        <w:rPr>
          <w:rFonts w:ascii="Arial" w:cs="Arial" w:eastAsia="Arial" w:hAnsi="Arial"/>
          <w:sz w:val="22"/>
          <w:szCs w:val="22"/>
        </w:rPr>
        <w:t xml:space="preserve">A complete response to all RTF deficiencies should be submitted within the timeline agreed upon with the Division.</w:t>
      </w:r>
    </w:p>
    <w:p>
      <w:pPr>
        <w:pStyle w:val="ListParagraph"/>
        <w:numPr>
          <w:ilvl w:val="0"/>
          <w:numId w:val="2"/>
        </w:numPr>
        <w:spacing w:after="80"/>
      </w:pPr>
      <w:r>
        <w:rPr>
          <w:rFonts w:ascii="Arial" w:cs="Arial" w:eastAsia="Arial" w:hAnsi="Arial"/>
          <w:sz w:val="22"/>
          <w:szCs w:val="22"/>
        </w:rPr>
        <w:t xml:space="preserve">Consider engaging with FDA through pre-submission meetings to clarify expectations before resubmission.</w:t>
      </w:r>
    </w:p>
    <w:p>
      <w:pPr>
        <w:pStyle w:val="ListParagraph"/>
        <w:numPr>
          <w:ilvl w:val="0"/>
          <w:numId w:val="2"/>
        </w:numPr>
        <w:spacing w:after="80"/>
      </w:pPr>
      <w:r>
        <w:rPr>
          <w:rFonts w:ascii="Arial" w:cs="Arial" w:eastAsia="Arial" w:hAnsi="Arial"/>
          <w:sz w:val="22"/>
          <w:szCs w:val="22"/>
        </w:rPr>
        <w:t xml:space="preserve">All resubmission materials should undergo rigorous internal QC review prior to filing.</w:t>
      </w:r>
    </w:p>
    <w:p>
      <w:pPr>
        <w:spacing w:before="600"/>
      </w:pPr>
    </w:p>
    <w:p>
      <w:pPr>
        <w:pBdr>
          <w:top w:val="single" w:color="CCCCCC" w:sz="4" w:space="4"/>
        </w:pBdr>
        <w:spacing w:after="200" w:before="400"/>
      </w:pPr>
      <w:r>
        <w:rPr>
          <w:rFonts w:ascii="Arial" w:cs="Arial" w:eastAsia="Arial" w:hAnsi="Arial"/>
          <w:b/>
          <w:bCs/>
          <w:color w:val="888888"/>
          <w:sz w:val="18"/>
          <w:szCs w:val="18"/>
        </w:rPr>
        <w:t xml:space="preserve">Disclaimer: </w:t>
      </w:r>
      <w:r>
        <w:rPr>
          <w:rFonts w:ascii="Arial" w:cs="Arial" w:eastAsia="Arial" w:hAnsi="Arial"/>
          <w:i/>
          <w:iCs/>
          <w:color w:val="888888"/>
          <w:sz w:val="18"/>
          <w:szCs w:val="18"/>
        </w:rPr>
        <w:t xml:space="preserve">This template is provided for informational and planning purposes only. It does not constitute legal or regulatory advice. Consult with qualified regulatory affairs professionals before making submission decisions.</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4" w:space="4"/>
      </w:pBdr>
      <w:jc w:val="center"/>
    </w:pPr>
    <w:r>
      <w:rPr>
        <w:rFonts w:ascii="Arial" w:cs="Arial" w:eastAsia="Arial" w:hAnsi="Arial"/>
        <w:color w:val="888888"/>
        <w:sz w:val="18"/>
        <w:szCs w:val="18"/>
      </w:rPr>
      <w:t xml:space="preserve">TrialCraft | Insight Mind AI LLC  |  Page </w:t>
    </w:r>
    <w:r>
      <w:rPr>
        <w:rFonts w:ascii="Arial" w:cs="Arial" w:eastAsia="Arial" w:hAnsi="Arial"/>
        <w:color w:val="888888"/>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0A1628" w:sz="4" w:space="4"/>
      </w:pBdr>
    </w:pPr>
    <w:r>
      <w:rPr>
        <w:rFonts w:ascii="Arial" w:cs="Arial" w:eastAsia="Arial" w:hAnsi="Arial"/>
        <w:i/>
        <w:iCs/>
        <w:color w:val="666666"/>
        <w:sz w:val="18"/>
        <w:szCs w:val="18"/>
      </w:rPr>
      <w:t xml:space="preserve">RTF Response Framework</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bullet"/>
      <w:lvlText w:val="•"/>
      <w:lvlJc w:val="left"/>
      <w:pPr>
        <w:ind w:left="720" w:hanging="360"/>
      </w:pPr>
    </w:lvl>
  </w:abstractNum>
  <w:abstractNum w:abstractNumId="4"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360"/>
      <w:outlineLvl w:val="0"/>
    </w:pPr>
    <w:rPr>
      <w:rFonts w:ascii="Arial" w:cs="Arial" w:eastAsia="Arial" w:hAnsi="Arial"/>
      <w:b/>
      <w:bCs/>
      <w:color w:val="0A1628"/>
      <w:sz w:val="32"/>
      <w:szCs w:val="32"/>
    </w:rPr>
  </w:style>
  <w:style w:type="paragraph" w:styleId="Heading2">
    <w:name w:val="Heading 2"/>
    <w:basedOn w:val="Normal"/>
    <w:next w:val="Normal"/>
    <w:qFormat/>
    <w:pPr>
      <w:spacing w:after="120" w:before="240"/>
      <w:outlineLvl w:val="1"/>
    </w:pPr>
    <w:rPr>
      <w:rFonts w:ascii="Arial" w:cs="Arial" w:eastAsia="Arial" w:hAnsi="Arial"/>
      <w:b/>
      <w:bCs/>
      <w:color w:val="0A1628"/>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2026-07-02T04:18:23.600Z</dcterms:created>
  <dcterms:modified xsi:type="dcterms:W3CDTF">2026-07-02T04:18:23.600Z</dcterms:modified>
</cp:coreProperties>
</file>

<file path=docProps/custom.xml><?xml version="1.0" encoding="utf-8"?>
<Properties xmlns="http://schemas.openxmlformats.org/officeDocument/2006/custom-properties" xmlns:vt="http://schemas.openxmlformats.org/officeDocument/2006/docPropsVTypes"/>
</file>