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p>
    <w:p>
      <w:pPr>
        <w:spacing w:after="0"/>
      </w:pPr>
    </w:p>
    <w:p>
      <w:pPr>
        <w:spacing w:after="0"/>
      </w:pPr>
    </w:p>
    <w:p>
      <w:pPr>
        <w:spacing w:after="200"/>
        <w:jc w:val="center"/>
      </w:pPr>
      <w:r>
        <w:rPr>
          <w:rFonts w:ascii="Arial" w:cs="Arial" w:eastAsia="Arial" w:hAnsi="Arial"/>
          <w:b/>
          <w:bCs/>
          <w:color w:val="0A1628"/>
          <w:sz w:val="52"/>
          <w:szCs w:val="52"/>
        </w:rPr>
        <w:t xml:space="preserve">IND Review Checklist</w:t>
      </w:r>
    </w:p>
    <w:p>
      <w:pPr>
        <w:spacing w:after="80"/>
        <w:jc w:val="center"/>
      </w:pPr>
      <w:r>
        <w:rPr>
          <w:rFonts w:ascii="Arial" w:cs="Arial" w:eastAsia="Arial" w:hAnsi="Arial"/>
          <w:color w:val="555555"/>
          <w:sz w:val="24"/>
          <w:szCs w:val="24"/>
        </w:rPr>
        <w:t xml:space="preserve">Prepared by: TrialCraft | Insight Mind AI LLC</w:t>
      </w:r>
    </w:p>
    <w:p>
      <w:pPr>
        <w:spacing w:after="80"/>
        <w:jc w:val="center"/>
      </w:pPr>
      <w:r>
        <w:rPr>
          <w:rFonts w:ascii="Arial" w:cs="Arial" w:eastAsia="Arial" w:hAnsi="Arial"/>
          <w:sz w:val="22"/>
          <w:szCs w:val="22"/>
        </w:rPr>
        <w:t xml:space="preserve">Date: [Date]</w:t>
      </w:r>
    </w:p>
    <w:p>
      <w:pPr>
        <w:spacing w:after="80"/>
        <w:jc w:val="center"/>
      </w:pPr>
      <w:r>
        <w:rPr>
          <w:rFonts w:ascii="Arial" w:cs="Arial" w:eastAsia="Arial" w:hAnsi="Arial"/>
          <w:sz w:val="22"/>
          <w:szCs w:val="22"/>
        </w:rPr>
        <w:t xml:space="preserve">Program / Compound: [Program / Compound Name]</w:t>
      </w:r>
    </w:p>
    <w:p>
      <w:pPr>
        <w:spacing w:after="200"/>
        <w:jc w:val="center"/>
      </w:pPr>
      <w:r>
        <w:rPr>
          <w:rFonts w:ascii="Arial" w:cs="Arial" w:eastAsia="Arial" w:hAnsi="Arial"/>
          <w:i/>
          <w:iCs/>
          <w:color w:val="888888"/>
          <w:sz w:val="20"/>
          <w:szCs w:val="20"/>
        </w:rPr>
        <w:t xml:space="preserve">Template v1.0</w:t>
      </w:r>
    </w:p>
    <w:p>
      <w:pPr>
        <w:pBdr>
          <w:bottom w:val="single" w:color="0A1628" w:sz="6" w:space="1"/>
        </w:pBdr>
        <w:spacing w:after="100"/>
      </w:pPr>
    </w:p>
    <w:p>
      <w:pPr>
        <w:spacing w:after="200"/>
      </w:pPr>
      <w:r>
        <w:rPr>
          <w:rFonts w:ascii="Arial" w:cs="Arial" w:eastAsia="Arial" w:hAnsi="Arial"/>
          <w:i/>
          <w:iCs/>
          <w:color w:val="444444"/>
          <w:sz w:val="20"/>
          <w:szCs w:val="20"/>
        </w:rPr>
        <w:t xml:space="preserve">Use this checklist to track readiness of your IND submission package. Mark each item as Complete, In Progress, or Not Started. Add notes for any action items, responsible parties, or outstanding issues.</w:t>
      </w:r>
    </w:p>
    <w:p>
      <w:pPr>
        <w:spacing w:after="60" w:before="100"/>
      </w:pPr>
      <w:r>
        <w:rPr>
          <w:rFonts w:ascii="Arial" w:cs="Arial" w:eastAsia="Arial" w:hAnsi="Arial"/>
          <w:b/>
          <w:bCs/>
          <w:sz w:val="20"/>
          <w:szCs w:val="20"/>
        </w:rPr>
        <w:t xml:space="preserve">Status Key:</w:t>
      </w:r>
    </w:p>
    <w:tbl>
      <w:tblPr>
        <w:tblW w:type="dxa" w:w="600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2000"/>
      </w:tblGrid>
      <w:tr>
        <w:tc>
          <w:tcPr>
            <w:tcW w:type="dxa" w:w="2000"/>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tcPr>
          <w:p>
            <w:pPr>
              <w:jc w:val="center"/>
            </w:pPr>
            <w:r>
              <w:rPr>
                <w:rFonts w:ascii="Arial" w:cs="Arial" w:eastAsia="Arial" w:hAnsi="Arial"/>
                <w:b/>
                <w:bCs/>
                <w:sz w:val="18"/>
                <w:szCs w:val="18"/>
              </w:rPr>
              <w:t xml:space="preserve">Complete</w:t>
            </w:r>
          </w:p>
        </w:tc>
        <w:tc>
          <w:tcPr>
            <w:tcW w:type="dxa" w:w="2000"/>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tcPr>
          <w:p>
            <w:pPr>
              <w:jc w:val="center"/>
            </w:pPr>
            <w:r>
              <w:rPr>
                <w:rFonts w:ascii="Arial" w:cs="Arial" w:eastAsia="Arial" w:hAnsi="Arial"/>
                <w:b/>
                <w:bCs/>
                <w:sz w:val="18"/>
                <w:szCs w:val="18"/>
              </w:rPr>
              <w:t xml:space="preserve">In Progress</w:t>
            </w:r>
          </w:p>
        </w:tc>
        <w:tc>
          <w:tcPr>
            <w:tcW w:type="dxa" w:w="2000"/>
            <w:tcBorders>
              <w:top w:val="single" w:color="CCCCCC" w:sz="1"/>
              <w:left w:val="single" w:color="CCCCCC" w:sz="1"/>
              <w:bottom w:val="single" w:color="CCCCCC" w:sz="1"/>
              <w:right w:val="single" w:color="CCCCCC" w:sz="1"/>
            </w:tcBorders>
            <w:shd w:fill="F8D7DA" w:val="clear"/>
            <w:tcMar>
              <w:top w:type="dxa" w:w="80"/>
              <w:left w:type="dxa" w:w="120"/>
              <w:bottom w:type="dxa" w:w="80"/>
              <w:right w:type="dxa" w:w="120"/>
            </w:tcMar>
          </w:tcPr>
          <w:p>
            <w:pPr>
              <w:jc w:val="center"/>
            </w:pPr>
            <w:r>
              <w:rPr>
                <w:rFonts w:ascii="Arial" w:cs="Arial" w:eastAsia="Arial" w:hAnsi="Arial"/>
                <w:b/>
                <w:bCs/>
                <w:sz w:val="18"/>
                <w:szCs w:val="18"/>
              </w:rPr>
              <w:t xml:space="preserve">Not Started</w:t>
            </w:r>
          </w:p>
        </w:tc>
      </w:tr>
    </w:tbl>
    <w:p>
      <w:pPr>
        <w:spacing w:after="120"/>
      </w:pPr>
    </w:p>
    <w:p>
      <w:r>
        <w:br w:type="page"/>
      </w:r>
    </w:p>
    <w:p>
      <w:pPr>
        <w:pStyle w:val="Heading1"/>
        <w:spacing w:after="200" w:before="360"/>
      </w:pPr>
      <w:r>
        <w:rPr>
          <w:rFonts w:ascii="Arial" w:cs="Arial" w:eastAsia="Arial" w:hAnsi="Arial"/>
          <w:b/>
          <w:bCs/>
          <w:color w:val="0A1628"/>
          <w:sz w:val="28"/>
          <w:szCs w:val="28"/>
        </w:rPr>
        <w:t xml:space="preserve">Section 1: Nonclinical Data Package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360"/>
        <w:gridCol w:w="2000"/>
        <w:gridCol w:w="3000"/>
      </w:tblGrid>
      <w:tr>
        <w:tc>
          <w:tcPr>
            <w:tcW w:type="dxa" w:w="436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pPr>
              <w:jc w:val="left"/>
            </w:pPr>
            <w:r>
              <w:rPr>
                <w:rFonts w:ascii="Arial" w:cs="Arial" w:eastAsia="Arial" w:hAnsi="Arial"/>
                <w:b/>
                <w:bCs/>
                <w:sz w:val="20"/>
                <w:szCs w:val="20"/>
              </w:rPr>
              <w:t xml:space="preserve">Item</w:t>
            </w:r>
          </w:p>
        </w:tc>
        <w:tc>
          <w:tcPr>
            <w:tcW w:type="dxa" w:w="20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pPr>
              <w:jc w:val="left"/>
            </w:pPr>
            <w:r>
              <w:rPr>
                <w:rFonts w:ascii="Arial" w:cs="Arial" w:eastAsia="Arial" w:hAnsi="Arial"/>
                <w:b/>
                <w:bCs/>
                <w:sz w:val="20"/>
                <w:szCs w:val="20"/>
              </w:rPr>
              <w:t xml:space="preserve">Status</w:t>
            </w:r>
          </w:p>
        </w:tc>
        <w:tc>
          <w:tcPr>
            <w:tcW w:type="dxa" w:w="30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pPr>
              <w:jc w:val="left"/>
            </w:pPr>
            <w:r>
              <w:rPr>
                <w:rFonts w:ascii="Arial" w:cs="Arial" w:eastAsia="Arial" w:hAnsi="Arial"/>
                <w:b/>
                <w:bCs/>
                <w:sz w:val="20"/>
                <w:szCs w:val="20"/>
              </w:rPr>
              <w:t xml:space="preserve">Notes</w:t>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GLP repeat-dose toxicology (28-day minimum)</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Safety pharmacology core battery (CV, CNS, Respiratory)</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Genotoxicity studies (Ames, in vitro chromosomal, in vivo micronucleus)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PK/ADME characterization</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Single-dose toxicity / DRF</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NOAEL determination and HED calculation</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Reproductive/developmental tox (if applicable)</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bl>
    <w:p>
      <w:pPr>
        <w:spacing w:after="120"/>
      </w:pPr>
    </w:p>
    <w:p>
      <w:pPr>
        <w:pStyle w:val="Heading1"/>
        <w:spacing w:after="200" w:before="360"/>
      </w:pPr>
      <w:r>
        <w:rPr>
          <w:rFonts w:ascii="Arial" w:cs="Arial" w:eastAsia="Arial" w:hAnsi="Arial"/>
          <w:b/>
          <w:bCs/>
          <w:color w:val="0A1628"/>
          <w:sz w:val="28"/>
          <w:szCs w:val="28"/>
        </w:rPr>
        <w:t xml:space="preserve">Section 2: CMC (Chemistry, Manufacturing, Controls)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360"/>
        <w:gridCol w:w="2000"/>
        <w:gridCol w:w="3000"/>
      </w:tblGrid>
      <w:tr>
        <w:tc>
          <w:tcPr>
            <w:tcW w:type="dxa" w:w="436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pPr>
              <w:jc w:val="left"/>
            </w:pPr>
            <w:r>
              <w:rPr>
                <w:rFonts w:ascii="Arial" w:cs="Arial" w:eastAsia="Arial" w:hAnsi="Arial"/>
                <w:b/>
                <w:bCs/>
                <w:sz w:val="20"/>
                <w:szCs w:val="20"/>
              </w:rPr>
              <w:t xml:space="preserve">Item</w:t>
            </w:r>
          </w:p>
        </w:tc>
        <w:tc>
          <w:tcPr>
            <w:tcW w:type="dxa" w:w="20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pPr>
              <w:jc w:val="left"/>
            </w:pPr>
            <w:r>
              <w:rPr>
                <w:rFonts w:ascii="Arial" w:cs="Arial" w:eastAsia="Arial" w:hAnsi="Arial"/>
                <w:b/>
                <w:bCs/>
                <w:sz w:val="20"/>
                <w:szCs w:val="20"/>
              </w:rPr>
              <w:t xml:space="preserve">Status</w:t>
            </w:r>
          </w:p>
        </w:tc>
        <w:tc>
          <w:tcPr>
            <w:tcW w:type="dxa" w:w="30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pPr>
              <w:jc w:val="left"/>
            </w:pPr>
            <w:r>
              <w:rPr>
                <w:rFonts w:ascii="Arial" w:cs="Arial" w:eastAsia="Arial" w:hAnsi="Arial"/>
                <w:b/>
                <w:bCs/>
                <w:sz w:val="20"/>
                <w:szCs w:val="20"/>
              </w:rPr>
              <w:t xml:space="preserve">Notes</w:t>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Drug substance characterization &amp; specs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Drug product formulation</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Analytical methods validated</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Stability data (≥1 month accelerated)</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GMP manufacturing site</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Reference standard</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Container closure system</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Certificate of Analysis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bl>
    <w:p>
      <w:pPr>
        <w:spacing w:after="120"/>
      </w:pPr>
    </w:p>
    <w:p>
      <w:pPr>
        <w:pStyle w:val="Heading1"/>
        <w:spacing w:after="200" w:before="360"/>
      </w:pPr>
      <w:r>
        <w:rPr>
          <w:rFonts w:ascii="Arial" w:cs="Arial" w:eastAsia="Arial" w:hAnsi="Arial"/>
          <w:b/>
          <w:bCs/>
          <w:color w:val="0A1628"/>
          <w:sz w:val="28"/>
          <w:szCs w:val="28"/>
        </w:rPr>
        <w:t xml:space="preserve">Section 3: Clinical Protocol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360"/>
        <w:gridCol w:w="2000"/>
        <w:gridCol w:w="3000"/>
      </w:tblGrid>
      <w:tr>
        <w:tc>
          <w:tcPr>
            <w:tcW w:type="dxa" w:w="436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pPr>
              <w:jc w:val="left"/>
            </w:pPr>
            <w:r>
              <w:rPr>
                <w:rFonts w:ascii="Arial" w:cs="Arial" w:eastAsia="Arial" w:hAnsi="Arial"/>
                <w:b/>
                <w:bCs/>
                <w:sz w:val="20"/>
                <w:szCs w:val="20"/>
              </w:rPr>
              <w:t xml:space="preserve">Item</w:t>
            </w:r>
          </w:p>
        </w:tc>
        <w:tc>
          <w:tcPr>
            <w:tcW w:type="dxa" w:w="20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pPr>
              <w:jc w:val="left"/>
            </w:pPr>
            <w:r>
              <w:rPr>
                <w:rFonts w:ascii="Arial" w:cs="Arial" w:eastAsia="Arial" w:hAnsi="Arial"/>
                <w:b/>
                <w:bCs/>
                <w:sz w:val="20"/>
                <w:szCs w:val="20"/>
              </w:rPr>
              <w:t xml:space="preserve">Status</w:t>
            </w:r>
          </w:p>
        </w:tc>
        <w:tc>
          <w:tcPr>
            <w:tcW w:type="dxa" w:w="30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pPr>
              <w:jc w:val="left"/>
            </w:pPr>
            <w:r>
              <w:rPr>
                <w:rFonts w:ascii="Arial" w:cs="Arial" w:eastAsia="Arial" w:hAnsi="Arial"/>
                <w:b/>
                <w:bCs/>
                <w:sz w:val="20"/>
                <w:szCs w:val="20"/>
              </w:rPr>
              <w:t xml:space="preserve">Notes</w:t>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Phase 1 study design selected</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Dose escalation/de-escalation rules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Primary endpoint &amp; DLT definition</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Inclusion/exclusion criteria</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Safety monitoring plan (DSMB/SMC)</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Informed consent template</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Stopping rules defined</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bl>
    <w:p>
      <w:pPr>
        <w:spacing w:after="120"/>
      </w:pPr>
    </w:p>
    <w:p>
      <w:pPr>
        <w:pStyle w:val="Heading1"/>
        <w:spacing w:after="200" w:before="360"/>
      </w:pPr>
      <w:r>
        <w:rPr>
          <w:rFonts w:ascii="Arial" w:cs="Arial" w:eastAsia="Arial" w:hAnsi="Arial"/>
          <w:b/>
          <w:bCs/>
          <w:color w:val="0A1628"/>
          <w:sz w:val="28"/>
          <w:szCs w:val="28"/>
        </w:rPr>
        <w:t xml:space="preserve">Section 4: Regulatory Documents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360"/>
        <w:gridCol w:w="2000"/>
        <w:gridCol w:w="3000"/>
      </w:tblGrid>
      <w:tr>
        <w:tc>
          <w:tcPr>
            <w:tcW w:type="dxa" w:w="436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pPr>
              <w:jc w:val="left"/>
            </w:pPr>
            <w:r>
              <w:rPr>
                <w:rFonts w:ascii="Arial" w:cs="Arial" w:eastAsia="Arial" w:hAnsi="Arial"/>
                <w:b/>
                <w:bCs/>
                <w:sz w:val="20"/>
                <w:szCs w:val="20"/>
              </w:rPr>
              <w:t xml:space="preserve">Item</w:t>
            </w:r>
          </w:p>
        </w:tc>
        <w:tc>
          <w:tcPr>
            <w:tcW w:type="dxa" w:w="20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pPr>
              <w:jc w:val="left"/>
            </w:pPr>
            <w:r>
              <w:rPr>
                <w:rFonts w:ascii="Arial" w:cs="Arial" w:eastAsia="Arial" w:hAnsi="Arial"/>
                <w:b/>
                <w:bCs/>
                <w:sz w:val="20"/>
                <w:szCs w:val="20"/>
              </w:rPr>
              <w:t xml:space="preserve">Status</w:t>
            </w:r>
          </w:p>
        </w:tc>
        <w:tc>
          <w:tcPr>
            <w:tcW w:type="dxa" w:w="30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pPr>
              <w:jc w:val="left"/>
            </w:pPr>
            <w:r>
              <w:rPr>
                <w:rFonts w:ascii="Arial" w:cs="Arial" w:eastAsia="Arial" w:hAnsi="Arial"/>
                <w:b/>
                <w:bCs/>
                <w:sz w:val="20"/>
                <w:szCs w:val="20"/>
              </w:rPr>
              <w:t xml:space="preserve">Notes</w:t>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Target FDA division identified</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Pre-IND meeting request</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Briefing document</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Orphan drug/fast track eligibility</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Pediatric study plan</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Environmental assessment or exclusion claim</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bl>
    <w:p>
      <w:pPr>
        <w:spacing w:after="120"/>
      </w:pPr>
    </w:p>
    <w:p>
      <w:pPr>
        <w:pStyle w:val="Heading1"/>
        <w:spacing w:after="200" w:before="360"/>
      </w:pPr>
      <w:r>
        <w:rPr>
          <w:rFonts w:ascii="Arial" w:cs="Arial" w:eastAsia="Arial" w:hAnsi="Arial"/>
          <w:b/>
          <w:bCs/>
          <w:color w:val="0A1628"/>
          <w:sz w:val="28"/>
          <w:szCs w:val="28"/>
        </w:rPr>
        <w:t xml:space="preserve">Section 5: Investigator’s Brochure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360"/>
        <w:gridCol w:w="2000"/>
        <w:gridCol w:w="3000"/>
      </w:tblGrid>
      <w:tr>
        <w:tc>
          <w:tcPr>
            <w:tcW w:type="dxa" w:w="436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pPr>
              <w:jc w:val="left"/>
            </w:pPr>
            <w:r>
              <w:rPr>
                <w:rFonts w:ascii="Arial" w:cs="Arial" w:eastAsia="Arial" w:hAnsi="Arial"/>
                <w:b/>
                <w:bCs/>
                <w:sz w:val="20"/>
                <w:szCs w:val="20"/>
              </w:rPr>
              <w:t xml:space="preserve">Item</w:t>
            </w:r>
          </w:p>
        </w:tc>
        <w:tc>
          <w:tcPr>
            <w:tcW w:type="dxa" w:w="20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pPr>
              <w:jc w:val="left"/>
            </w:pPr>
            <w:r>
              <w:rPr>
                <w:rFonts w:ascii="Arial" w:cs="Arial" w:eastAsia="Arial" w:hAnsi="Arial"/>
                <w:b/>
                <w:bCs/>
                <w:sz w:val="20"/>
                <w:szCs w:val="20"/>
              </w:rPr>
              <w:t xml:space="preserve">Status</w:t>
            </w:r>
          </w:p>
        </w:tc>
        <w:tc>
          <w:tcPr>
            <w:tcW w:type="dxa" w:w="30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pPr>
              <w:jc w:val="left"/>
            </w:pPr>
            <w:r>
              <w:rPr>
                <w:rFonts w:ascii="Arial" w:cs="Arial" w:eastAsia="Arial" w:hAnsi="Arial"/>
                <w:b/>
                <w:bCs/>
                <w:sz w:val="20"/>
                <w:szCs w:val="20"/>
              </w:rPr>
              <w:t xml:space="preserve">Notes</w:t>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Nonclinical pharmacology summary</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Toxicology data tabulated</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Clinical pharmacology (PK/PD)</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Risk/benefit assessment</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Prior human experience (if any)</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bl>
    <w:p>
      <w:pPr>
        <w:spacing w:after="120"/>
      </w:pPr>
    </w:p>
    <w:p>
      <w:pPr>
        <w:pStyle w:val="Heading1"/>
        <w:spacing w:after="200" w:before="360"/>
      </w:pPr>
      <w:r>
        <w:rPr>
          <w:rFonts w:ascii="Arial" w:cs="Arial" w:eastAsia="Arial" w:hAnsi="Arial"/>
          <w:b/>
          <w:bCs/>
          <w:color w:val="0A1628"/>
          <w:sz w:val="28"/>
          <w:szCs w:val="28"/>
        </w:rPr>
        <w:t xml:space="preserve">Section 6: Administrative / Submission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360"/>
        <w:gridCol w:w="2000"/>
        <w:gridCol w:w="3000"/>
      </w:tblGrid>
      <w:tr>
        <w:tc>
          <w:tcPr>
            <w:tcW w:type="dxa" w:w="436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pPr>
              <w:jc w:val="left"/>
            </w:pPr>
            <w:r>
              <w:rPr>
                <w:rFonts w:ascii="Arial" w:cs="Arial" w:eastAsia="Arial" w:hAnsi="Arial"/>
                <w:b/>
                <w:bCs/>
                <w:sz w:val="20"/>
                <w:szCs w:val="20"/>
              </w:rPr>
              <w:t xml:space="preserve">Item</w:t>
            </w:r>
          </w:p>
        </w:tc>
        <w:tc>
          <w:tcPr>
            <w:tcW w:type="dxa" w:w="20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pPr>
              <w:jc w:val="left"/>
            </w:pPr>
            <w:r>
              <w:rPr>
                <w:rFonts w:ascii="Arial" w:cs="Arial" w:eastAsia="Arial" w:hAnsi="Arial"/>
                <w:b/>
                <w:bCs/>
                <w:sz w:val="20"/>
                <w:szCs w:val="20"/>
              </w:rPr>
              <w:t xml:space="preserve">Status</w:t>
            </w:r>
          </w:p>
        </w:tc>
        <w:tc>
          <w:tcPr>
            <w:tcW w:type="dxa" w:w="3000"/>
            <w:tcBorders>
              <w:top w:val="single" w:color="CCCCCC" w:sz="1"/>
              <w:left w:val="single" w:color="CCCCCC" w:sz="1"/>
              <w:bottom w:val="single" w:color="CCCCCC" w:sz="1"/>
              <w:right w:val="single" w:color="CCCCCC" w:sz="1"/>
            </w:tcBorders>
            <w:shd w:fill="F0F1F4" w:val="clear"/>
            <w:tcMar>
              <w:top w:type="dxa" w:w="80"/>
              <w:left w:type="dxa" w:w="120"/>
              <w:bottom w:type="dxa" w:w="80"/>
              <w:right w:type="dxa" w:w="120"/>
            </w:tcMar>
          </w:tcPr>
          <w:p>
            <w:pPr>
              <w:jc w:val="left"/>
            </w:pPr>
            <w:r>
              <w:rPr>
                <w:rFonts w:ascii="Arial" w:cs="Arial" w:eastAsia="Arial" w:hAnsi="Arial"/>
                <w:b/>
                <w:bCs/>
                <w:sz w:val="20"/>
                <w:szCs w:val="20"/>
              </w:rPr>
              <w:t xml:space="preserve">Notes</w:t>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Form 1571 (IND Cover)</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Form 1572 (Investigator)</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Form 3674 (Financial Disclosure)</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Sponsor-investigator vs commercial IND</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CRO/CDMO partners</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IRB/ethics committee</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r>
        <w:tc>
          <w:tcPr>
            <w:tcW w:type="dxa" w:w="4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Budget and funding</w:t>
            </w:r>
          </w:p>
        </w:tc>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
            </w:r>
          </w:p>
        </w:tc>
      </w:tr>
    </w:tbl>
    <w:p>
      <w:r>
        <w:br w:type="page"/>
      </w:r>
    </w:p>
    <w:p>
      <w:pPr>
        <w:pStyle w:val="Heading1"/>
        <w:spacing w:after="200" w:before="200"/>
      </w:pPr>
      <w:r>
        <w:rPr>
          <w:rFonts w:ascii="Arial" w:cs="Arial" w:eastAsia="Arial" w:hAnsi="Arial"/>
          <w:b/>
          <w:bCs/>
          <w:color w:val="0A1628"/>
          <w:sz w:val="28"/>
          <w:szCs w:val="28"/>
        </w:rPr>
        <w:t xml:space="preserve">Additional Notes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r>
        <w:tc>
          <w:tcPr>
            <w:tcW w:type="dxa" w:w="9360"/>
            <w:tcBorders>
              <w:top w:val="none" w:color="FFFFFF" w:sz="0"/>
              <w:left w:val="single" w:color="CCCCCC" w:sz="1"/>
              <w:bottom w:val="single" w:color="DDDDDD" w:sz="1"/>
              <w:right w:val="single" w:color="CCCCCC" w:sz="1"/>
            </w:tcBorders>
            <w:tcMar>
              <w:top w:type="dxa" w:w="60"/>
              <w:left w:type="dxa" w:w="120"/>
              <w:bottom w:type="dxa" w:w="60"/>
              <w:right w:type="dxa" w:w="120"/>
            </w:tcMar>
          </w:tcPr>
          <w:p>
            <w:pPr>
              <w:spacing w:after="0"/>
            </w:pPr>
            <w:r>
              <w:rPr>
                <w:rFonts w:ascii="Arial" w:cs="Arial" w:eastAsia="Arial" w:hAnsi="Arial"/>
                <w:sz w:val="20"/>
                <w:szCs w:val="20"/>
              </w:rPr>
              <w:t xml:space="preserve"> </w:t>
            </w:r>
          </w:p>
        </w:tc>
      </w:tr>
    </w:tbl>
    <w:p>
      <w:pPr>
        <w:spacing w:after="120"/>
      </w:pPr>
    </w:p>
    <w:p>
      <w:pPr>
        <w:spacing w:before="200"/>
      </w:pPr>
      <w:r>
        <w:rPr>
          <w:rFonts w:ascii="Arial" w:cs="Arial" w:eastAsia="Arial" w:hAnsi="Arial"/>
          <w:i/>
          <w:iCs/>
          <w:color w:val="999999"/>
          <w:sz w:val="16"/>
          <w:szCs w:val="16"/>
        </w:rPr>
        <w:t xml:space="preserve">This checklist is intended as a planning tool and does not constitute regulatory or legal advice. Consult qualified regulatory professionals before IND submission.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1" w:space="4"/>
      </w:pBdr>
      <w:jc w:val="center"/>
    </w:pPr>
    <w:r>
      <w:rPr>
        <w:rFonts w:ascii="Arial" w:cs="Arial" w:eastAsia="Arial" w:hAnsi="Arial"/>
        <w:color w:val="999999"/>
        <w:sz w:val="16"/>
        <w:szCs w:val="16"/>
      </w:rPr>
      <w:t xml:space="preserve">TrialCraft | Insight Mind AI LLC  —  Page </w:t>
    </w:r>
    <w:r>
      <w:rPr>
        <w:rFonts w:ascii="Arial" w:cs="Arial" w:eastAsia="Arial" w:hAnsi="Arial"/>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i/>
        <w:iCs/>
        <w:color w:val="999999"/>
        <w:sz w:val="16"/>
        <w:szCs w:val="16"/>
      </w:rPr>
      <w:t xml:space="preserve">IND Review Checklist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0A1628"/>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0A162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2026-07-02T04:17:32.786Z</dcterms:created>
  <dcterms:modified xsi:type="dcterms:W3CDTF">2026-07-02T04:17:32.787Z</dcterms:modified>
</cp:coreProperties>
</file>

<file path=docProps/custom.xml><?xml version="1.0" encoding="utf-8"?>
<Properties xmlns="http://schemas.openxmlformats.org/officeDocument/2006/custom-properties" xmlns:vt="http://schemas.openxmlformats.org/officeDocument/2006/docPropsVTypes"/>
</file>